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HANESBRANDS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410345102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11/30/2025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410345102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30,896,680.00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30,914,604.00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30,914,604.00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HANESBRANDS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101 NORTH CHERRY STREET WINSTON-SALEM NC 27101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100"/>
        <w:spacing w:after="0"/>
        <w:rPr>
          <w:sz w:val="20"/>
          <w:szCs w:val="20"/>
          <w:color w:val="auto"/>
        </w:rPr>
      </w:pPr>
      <w:r>
        <w:rPr>
          <w:rFonts w:ascii="Times New Roman" w:cs="Times New Roman" w:eastAsia="Times New Roman" w:hAnsi="Times New Roman"/>
          <w:sz w:val="22"/>
          <w:szCs w:val="22"/>
          <w:color w:val="auto"/>
        </w:rPr>
        <w:t>410345102</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30914604</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8.7 %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30896680</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30914604</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2"/>
          <w:szCs w:val="22"/>
          <w:color w:val="auto"/>
        </w:rPr>
        <w:t>The interest of 1 such person, iShares Core S&amp;P Small-Cap ETF, in the common stock of HANESBRANDS INC is more than five percent of the total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12/04/2025</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2025-12-04T13:28:54Z</dcterms:created>
  <dcterms:modified xsi:type="dcterms:W3CDTF">2025-12-04T13:28:54Z</dcterms:modified>
</cp:coreProperties>
</file>