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980"/>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December 1, 2025</w:t>
      </w:r>
    </w:p>
    <w:p>
      <w:pPr>
        <w:spacing w:after="0" w:line="18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333-137143</w:t>
      </w:r>
    </w:p>
    <w:p>
      <w:pPr>
        <w:spacing w:after="0" w:line="1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333-188168</w:t>
      </w:r>
    </w:p>
    <w:p>
      <w:pPr>
        <w:jc w:val="right"/>
        <w:spacing w:after="0" w:line="234" w:lineRule="auto"/>
        <w:rPr>
          <w:sz w:val="20"/>
          <w:szCs w:val="20"/>
          <w:color w:val="auto"/>
        </w:rPr>
      </w:pPr>
      <w:r>
        <w:rPr>
          <w:rFonts w:ascii="Times New Roman" w:cs="Times New Roman" w:eastAsia="Times New Roman" w:hAnsi="Times New Roman"/>
          <w:sz w:val="16"/>
          <w:szCs w:val="16"/>
          <w:b w:val="1"/>
          <w:bCs w:val="1"/>
          <w:color w:val="auto"/>
        </w:rPr>
        <w:t>Registration No. 333-214449</w:t>
      </w:r>
    </w:p>
    <w:p>
      <w:pPr>
        <w:jc w:val="right"/>
        <w:spacing w:after="0" w:line="235" w:lineRule="auto"/>
        <w:rPr>
          <w:sz w:val="20"/>
          <w:szCs w:val="20"/>
          <w:color w:val="auto"/>
        </w:rPr>
      </w:pPr>
      <w:r>
        <w:rPr>
          <w:rFonts w:ascii="Times New Roman" w:cs="Times New Roman" w:eastAsia="Times New Roman" w:hAnsi="Times New Roman"/>
          <w:sz w:val="16"/>
          <w:szCs w:val="16"/>
          <w:b w:val="1"/>
          <w:bCs w:val="1"/>
          <w:color w:val="auto"/>
        </w:rPr>
        <w:t>Registration No. 333-238100</w:t>
      </w:r>
    </w:p>
    <w:p>
      <w:pPr>
        <w:jc w:val="right"/>
        <w:spacing w:after="0" w:line="235" w:lineRule="auto"/>
        <w:rPr>
          <w:sz w:val="20"/>
          <w:szCs w:val="20"/>
          <w:color w:val="auto"/>
        </w:rPr>
      </w:pPr>
      <w:r>
        <w:rPr>
          <w:rFonts w:ascii="Times New Roman" w:cs="Times New Roman" w:eastAsia="Times New Roman" w:hAnsi="Times New Roman"/>
          <w:sz w:val="16"/>
          <w:szCs w:val="16"/>
          <w:b w:val="1"/>
          <w:bCs w:val="1"/>
          <w:color w:val="auto"/>
        </w:rPr>
        <w:t>Registration No. 333-240312</w:t>
      </w:r>
    </w:p>
    <w:p>
      <w:pPr>
        <w:jc w:val="right"/>
        <w:spacing w:after="0" w:line="235" w:lineRule="auto"/>
        <w:rPr>
          <w:sz w:val="20"/>
          <w:szCs w:val="20"/>
          <w:color w:val="auto"/>
        </w:rPr>
      </w:pPr>
      <w:r>
        <w:rPr>
          <w:rFonts w:ascii="Times New Roman" w:cs="Times New Roman" w:eastAsia="Times New Roman" w:hAnsi="Times New Roman"/>
          <w:sz w:val="16"/>
          <w:szCs w:val="16"/>
          <w:b w:val="1"/>
          <w:bCs w:val="1"/>
          <w:color w:val="auto"/>
        </w:rPr>
        <w:t>Registration No. 333-248667</w:t>
      </w:r>
    </w:p>
    <w:p>
      <w:pPr>
        <w:jc w:val="right"/>
        <w:spacing w:after="0" w:line="235" w:lineRule="auto"/>
        <w:rPr>
          <w:sz w:val="20"/>
          <w:szCs w:val="20"/>
          <w:color w:val="auto"/>
        </w:rPr>
      </w:pPr>
      <w:r>
        <w:rPr>
          <w:rFonts w:ascii="Times New Roman" w:cs="Times New Roman" w:eastAsia="Times New Roman" w:hAnsi="Times New Roman"/>
          <w:sz w:val="16"/>
          <w:szCs w:val="16"/>
          <w:b w:val="1"/>
          <w:bCs w:val="1"/>
          <w:color w:val="auto"/>
        </w:rPr>
        <w:t>Registration No. 333-271608</w:t>
      </w: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333-289653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-247015</wp:posOffset>
            </wp:positionH>
            <wp:positionV relativeFrom="paragraph">
              <wp:posOffset>55245</wp:posOffset>
            </wp:positionV>
            <wp:extent cx="621982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19825" cy="7620"/>
                    </a:xfrm>
                    <a:prstGeom prst="rect">
                      <a:avLst/>
                    </a:prstGeom>
                    <a:noFill/>
                  </pic:spPr>
                </pic:pic>
              </a:graphicData>
            </a:graphic>
          </wp:anchor>
        </w:drawing>
        <w:drawing>
          <wp:anchor simplePos="0" relativeHeight="251657728" behindDoc="1" locked="0" layoutInCell="0" allowOverlap="1">
            <wp:simplePos x="0" y="0"/>
            <wp:positionH relativeFrom="column">
              <wp:posOffset>-247015</wp:posOffset>
            </wp:positionH>
            <wp:positionV relativeFrom="paragraph">
              <wp:posOffset>93345</wp:posOffset>
            </wp:positionV>
            <wp:extent cx="621982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19825" cy="7620"/>
                    </a:xfrm>
                    <a:prstGeom prst="rect">
                      <a:avLst/>
                    </a:prstGeom>
                    <a:noFill/>
                  </pic:spPr>
                </pic:pic>
              </a:graphicData>
            </a:graphic>
          </wp:anchor>
        </w:drawing>
      </w:r>
    </w:p>
    <w:p>
      <w:pPr>
        <w:spacing w:after="0" w:line="169"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1"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4"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2206625</wp:posOffset>
            </wp:positionH>
            <wp:positionV relativeFrom="paragraph">
              <wp:posOffset>206375</wp:posOffset>
            </wp:positionV>
            <wp:extent cx="130365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9"/>
          <w:szCs w:val="19"/>
          <w:b w:val="1"/>
          <w:bCs w:val="1"/>
          <w:color w:val="auto"/>
        </w:rPr>
        <w:t>POST-EFFECTIVE AMENDMENT NO. 1</w:t>
      </w:r>
    </w:p>
    <w:p>
      <w:pPr>
        <w:spacing w:after="0" w:line="34"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9"/>
          <w:szCs w:val="19"/>
          <w:b w:val="1"/>
          <w:bCs w:val="1"/>
          <w:color w:val="auto"/>
        </w:rPr>
        <w:t>TO</w:t>
      </w:r>
    </w:p>
    <w:p>
      <w:pPr>
        <w:spacing w:after="0" w:line="2" w:lineRule="exact"/>
        <w:rPr>
          <w:sz w:val="24"/>
          <w:szCs w:val="24"/>
          <w:color w:val="auto"/>
        </w:rPr>
      </w:pPr>
    </w:p>
    <w:p>
      <w:pPr>
        <w:ind w:left="2440"/>
        <w:spacing w:after="0"/>
        <w:rPr>
          <w:sz w:val="20"/>
          <w:szCs w:val="20"/>
          <w:color w:val="auto"/>
        </w:rPr>
      </w:pPr>
      <w:r>
        <w:rPr>
          <w:rFonts w:ascii="Times New Roman" w:cs="Times New Roman" w:eastAsia="Times New Roman" w:hAnsi="Times New Roman"/>
          <w:sz w:val="16"/>
          <w:szCs w:val="16"/>
          <w:b w:val="1"/>
          <w:bCs w:val="1"/>
          <w:color w:val="auto"/>
        </w:rPr>
        <w:t>FORM S-8 REGISTRATION STATEMENT NO. 333-137143</w:t>
      </w:r>
    </w:p>
    <w:p>
      <w:pPr>
        <w:ind w:left="2440"/>
        <w:spacing w:after="0" w:line="234" w:lineRule="auto"/>
        <w:rPr>
          <w:sz w:val="20"/>
          <w:szCs w:val="20"/>
          <w:color w:val="auto"/>
        </w:rPr>
      </w:pPr>
      <w:r>
        <w:rPr>
          <w:rFonts w:ascii="Times New Roman" w:cs="Times New Roman" w:eastAsia="Times New Roman" w:hAnsi="Times New Roman"/>
          <w:sz w:val="16"/>
          <w:szCs w:val="16"/>
          <w:b w:val="1"/>
          <w:bCs w:val="1"/>
          <w:color w:val="auto"/>
        </w:rPr>
        <w:t>FORM S-8 REGISTRATION STATEMENT NO. 333-214449</w:t>
      </w:r>
    </w:p>
    <w:p>
      <w:pPr>
        <w:ind w:left="2440"/>
        <w:spacing w:after="0" w:line="235" w:lineRule="auto"/>
        <w:rPr>
          <w:sz w:val="20"/>
          <w:szCs w:val="20"/>
          <w:color w:val="auto"/>
        </w:rPr>
      </w:pPr>
      <w:r>
        <w:rPr>
          <w:rFonts w:ascii="Times New Roman" w:cs="Times New Roman" w:eastAsia="Times New Roman" w:hAnsi="Times New Roman"/>
          <w:sz w:val="16"/>
          <w:szCs w:val="16"/>
          <w:b w:val="1"/>
          <w:bCs w:val="1"/>
          <w:color w:val="auto"/>
        </w:rPr>
        <w:t>FORM S-8 REGISTRATION STATEMENT NO. 333-238100</w:t>
      </w:r>
    </w:p>
    <w:p>
      <w:pPr>
        <w:ind w:left="2440"/>
        <w:spacing w:after="0" w:line="235" w:lineRule="auto"/>
        <w:rPr>
          <w:sz w:val="20"/>
          <w:szCs w:val="20"/>
          <w:color w:val="auto"/>
        </w:rPr>
      </w:pPr>
      <w:r>
        <w:rPr>
          <w:rFonts w:ascii="Times New Roman" w:cs="Times New Roman" w:eastAsia="Times New Roman" w:hAnsi="Times New Roman"/>
          <w:sz w:val="16"/>
          <w:szCs w:val="16"/>
          <w:b w:val="1"/>
          <w:bCs w:val="1"/>
          <w:color w:val="auto"/>
        </w:rPr>
        <w:t>FORM S-8 REGISTRATION STATEMENT NO. 333-240312</w:t>
      </w:r>
    </w:p>
    <w:p>
      <w:pPr>
        <w:ind w:left="2440"/>
        <w:spacing w:after="0" w:line="235" w:lineRule="auto"/>
        <w:rPr>
          <w:sz w:val="20"/>
          <w:szCs w:val="20"/>
          <w:color w:val="auto"/>
        </w:rPr>
      </w:pPr>
      <w:r>
        <w:rPr>
          <w:rFonts w:ascii="Times New Roman" w:cs="Times New Roman" w:eastAsia="Times New Roman" w:hAnsi="Times New Roman"/>
          <w:sz w:val="16"/>
          <w:szCs w:val="16"/>
          <w:b w:val="1"/>
          <w:bCs w:val="1"/>
          <w:color w:val="auto"/>
        </w:rPr>
        <w:t>FORM S-8 REGISTRATION STATEMENT NO. 333-248667</w:t>
      </w:r>
    </w:p>
    <w:p>
      <w:pPr>
        <w:ind w:left="2440"/>
        <w:spacing w:after="0" w:line="235" w:lineRule="auto"/>
        <w:rPr>
          <w:sz w:val="20"/>
          <w:szCs w:val="20"/>
          <w:color w:val="auto"/>
        </w:rPr>
      </w:pPr>
      <w:r>
        <w:rPr>
          <w:rFonts w:ascii="Times New Roman" w:cs="Times New Roman" w:eastAsia="Times New Roman" w:hAnsi="Times New Roman"/>
          <w:sz w:val="16"/>
          <w:szCs w:val="16"/>
          <w:b w:val="1"/>
          <w:bCs w:val="1"/>
          <w:color w:val="auto"/>
        </w:rPr>
        <w:t>FORM S-8 REGISTRATION STATEMENT NO. 333-271608</w:t>
      </w:r>
    </w:p>
    <w:p>
      <w:pPr>
        <w:ind w:left="2440"/>
        <w:spacing w:after="0"/>
        <w:rPr>
          <w:sz w:val="20"/>
          <w:szCs w:val="20"/>
          <w:color w:val="auto"/>
        </w:rPr>
      </w:pPr>
      <w:r>
        <w:rPr>
          <w:rFonts w:ascii="Times New Roman" w:cs="Times New Roman" w:eastAsia="Times New Roman" w:hAnsi="Times New Roman"/>
          <w:sz w:val="16"/>
          <w:szCs w:val="16"/>
          <w:b w:val="1"/>
          <w:bCs w:val="1"/>
          <w:color w:val="auto"/>
        </w:rPr>
        <w:t>FORM S-8 REGISTRATION STATEMENT NO. 333-289653</w:t>
      </w:r>
    </w:p>
    <w:p>
      <w:pPr>
        <w:jc w:val="center"/>
        <w:ind w:right="380"/>
        <w:spacing w:after="0"/>
        <w:rPr>
          <w:sz w:val="20"/>
          <w:szCs w:val="20"/>
          <w:color w:val="auto"/>
        </w:rPr>
      </w:pPr>
      <w:r>
        <w:rPr>
          <w:rFonts w:ascii="Times New Roman" w:cs="Times New Roman" w:eastAsia="Times New Roman" w:hAnsi="Times New Roman"/>
          <w:sz w:val="19"/>
          <w:szCs w:val="19"/>
          <w:b w:val="1"/>
          <w:bCs w:val="1"/>
          <w:color w:val="auto"/>
        </w:rPr>
        <w:t>POST-EFFECTIVE AMENDMENT NO. 2</w:t>
      </w:r>
    </w:p>
    <w:p>
      <w:pPr>
        <w:spacing w:after="0" w:line="10"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9"/>
          <w:szCs w:val="19"/>
          <w:b w:val="1"/>
          <w:bCs w:val="1"/>
          <w:color w:val="auto"/>
        </w:rPr>
        <w:t>TO</w:t>
      </w:r>
    </w:p>
    <w:p>
      <w:pPr>
        <w:spacing w:after="0" w:line="10"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9"/>
          <w:szCs w:val="19"/>
          <w:b w:val="1"/>
          <w:bCs w:val="1"/>
          <w:color w:val="auto"/>
        </w:rPr>
        <w:t>FORM S-8 REGISTRATION STATEMENT NO. 333-188168</w:t>
      </w:r>
    </w:p>
    <w:p>
      <w:pPr>
        <w:spacing w:after="0" w:line="10"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9"/>
          <w:szCs w:val="19"/>
          <w:b w:val="1"/>
          <w:bCs w:val="1"/>
          <w:i w:val="1"/>
          <w:iCs w:val="1"/>
          <w:color w:val="auto"/>
        </w:rPr>
        <w:t>UNDER</w:t>
      </w:r>
    </w:p>
    <w:p>
      <w:pPr>
        <w:spacing w:after="0" w:line="10"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9"/>
          <w:szCs w:val="19"/>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2206625</wp:posOffset>
            </wp:positionH>
            <wp:positionV relativeFrom="paragraph">
              <wp:posOffset>206375</wp:posOffset>
            </wp:positionV>
            <wp:extent cx="130365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ind w:left="2620"/>
        <w:spacing w:after="0"/>
        <w:rPr>
          <w:sz w:val="20"/>
          <w:szCs w:val="20"/>
          <w:color w:val="auto"/>
        </w:rPr>
      </w:pPr>
      <w:r>
        <w:rPr>
          <w:rFonts w:ascii="Times New Roman" w:cs="Times New Roman" w:eastAsia="Times New Roman" w:hAnsi="Times New Roman"/>
          <w:sz w:val="38"/>
          <w:szCs w:val="38"/>
          <w:b w:val="1"/>
          <w:bCs w:val="1"/>
          <w:color w:val="auto"/>
        </w:rPr>
        <w:t>HANESBRANDS LLC</w:t>
      </w:r>
    </w:p>
    <w:p>
      <w:pPr>
        <w:spacing w:after="0" w:line="57" w:lineRule="exact"/>
        <w:rPr>
          <w:sz w:val="24"/>
          <w:szCs w:val="24"/>
          <w:color w:val="auto"/>
        </w:rPr>
      </w:pPr>
    </w:p>
    <w:p>
      <w:pPr>
        <w:ind w:left="2640"/>
        <w:spacing w:after="0"/>
        <w:rPr>
          <w:sz w:val="20"/>
          <w:szCs w:val="20"/>
          <w:color w:val="auto"/>
        </w:rPr>
      </w:pPr>
      <w:r>
        <w:rPr>
          <w:rFonts w:ascii="Times New Roman" w:cs="Times New Roman" w:eastAsia="Times New Roman" w:hAnsi="Times New Roman"/>
          <w:sz w:val="38"/>
          <w:szCs w:val="38"/>
          <w:b w:val="1"/>
          <w:bCs w:val="1"/>
          <w:color w:val="auto"/>
        </w:rPr>
        <w:t>f/k/a Hanesbrands Inc.</w:t>
      </w:r>
    </w:p>
    <w:p>
      <w:pPr>
        <w:spacing w:after="0" w:line="6" w:lineRule="exact"/>
        <w:rPr>
          <w:sz w:val="24"/>
          <w:szCs w:val="24"/>
          <w:color w:val="auto"/>
        </w:rPr>
      </w:pPr>
    </w:p>
    <w:p>
      <w:pPr>
        <w:ind w:left="278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2206625</wp:posOffset>
            </wp:positionH>
            <wp:positionV relativeFrom="paragraph">
              <wp:posOffset>200025</wp:posOffset>
            </wp:positionV>
            <wp:extent cx="130365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tbl>
      <w:tblPr>
        <w:tblLayout w:type="fixed"/>
        <w:tblInd w:w="940" w:type="dxa"/>
        <w:tblCellMar>
          <w:top w:w="0" w:type="dxa"/>
          <w:left w:w="0" w:type="dxa"/>
          <w:bottom w:w="0" w:type="dxa"/>
          <w:right w:w="0" w:type="dxa"/>
        </w:tblCellMar>
      </w:tblPr>
      <w:tr>
        <w:trPr>
          <w:trHeight w:val="184"/>
        </w:trPr>
        <w:tc>
          <w:tcPr>
            <w:tcW w:w="3840" w:type="dxa"/>
            <w:vAlign w:val="bottom"/>
          </w:tcPr>
          <w:p>
            <w:pPr>
              <w:jc w:val="center"/>
              <w:ind w:right="1488"/>
              <w:spacing w:after="0"/>
              <w:rPr>
                <w:sz w:val="20"/>
                <w:szCs w:val="20"/>
                <w:color w:val="auto"/>
              </w:rPr>
            </w:pPr>
            <w:r>
              <w:rPr>
                <w:rFonts w:ascii="Times New Roman" w:cs="Times New Roman" w:eastAsia="Times New Roman" w:hAnsi="Times New Roman"/>
                <w:sz w:val="16"/>
                <w:szCs w:val="16"/>
                <w:b w:val="1"/>
                <w:bCs w:val="1"/>
                <w:color w:val="auto"/>
                <w:w w:val="99"/>
              </w:rPr>
              <w:t>Maryland</w:t>
            </w:r>
          </w:p>
        </w:tc>
        <w:tc>
          <w:tcPr>
            <w:tcW w:w="2900" w:type="dxa"/>
            <w:vAlign w:val="bottom"/>
          </w:tcPr>
          <w:p>
            <w:pPr>
              <w:jc w:val="right"/>
              <w:ind w:right="209"/>
              <w:spacing w:after="0"/>
              <w:rPr>
                <w:sz w:val="20"/>
                <w:szCs w:val="20"/>
                <w:color w:val="auto"/>
              </w:rPr>
            </w:pPr>
            <w:r>
              <w:rPr>
                <w:rFonts w:ascii="Times New Roman" w:cs="Times New Roman" w:eastAsia="Times New Roman" w:hAnsi="Times New Roman"/>
                <w:sz w:val="16"/>
                <w:szCs w:val="16"/>
                <w:b w:val="1"/>
                <w:bCs w:val="1"/>
                <w:color w:val="auto"/>
              </w:rPr>
              <w:t>20-3552316</w:t>
            </w:r>
          </w:p>
        </w:tc>
      </w:tr>
      <w:tr>
        <w:trPr>
          <w:trHeight w:val="156"/>
        </w:trPr>
        <w:tc>
          <w:tcPr>
            <w:tcW w:w="3840" w:type="dxa"/>
            <w:vAlign w:val="bottom"/>
          </w:tcPr>
          <w:p>
            <w:pPr>
              <w:jc w:val="center"/>
              <w:ind w:right="1488"/>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tc>
        <w:tc>
          <w:tcPr>
            <w:tcW w:w="2900" w:type="dxa"/>
            <w:vAlign w:val="bottom"/>
          </w:tcPr>
          <w:p>
            <w:pPr>
              <w:jc w:val="center"/>
              <w:ind w:left="1529"/>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4"/>
        </w:trPr>
        <w:tc>
          <w:tcPr>
            <w:tcW w:w="3840" w:type="dxa"/>
            <w:vAlign w:val="bottom"/>
          </w:tcPr>
          <w:p>
            <w:pPr>
              <w:jc w:val="center"/>
              <w:ind w:right="1488"/>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tc>
        <w:tc>
          <w:tcPr>
            <w:tcW w:w="2900" w:type="dxa"/>
            <w:vAlign w:val="bottom"/>
          </w:tcPr>
          <w:p>
            <w:pPr>
              <w:jc w:val="center"/>
              <w:ind w:left="1529"/>
              <w:spacing w:after="0"/>
              <w:rPr>
                <w:sz w:val="20"/>
                <w:szCs w:val="20"/>
                <w:color w:val="auto"/>
              </w:rPr>
            </w:pPr>
            <w:r>
              <w:rPr>
                <w:rFonts w:ascii="Times New Roman" w:cs="Times New Roman" w:eastAsia="Times New Roman" w:hAnsi="Times New Roman"/>
                <w:sz w:val="13"/>
                <w:szCs w:val="13"/>
                <w:b w:val="1"/>
                <w:bCs w:val="1"/>
                <w:color w:val="auto"/>
              </w:rPr>
              <w:t>Identification Number)</w:t>
            </w:r>
          </w:p>
        </w:tc>
      </w:tr>
      <w:tr>
        <w:trPr>
          <w:trHeight w:val="365"/>
        </w:trPr>
        <w:tc>
          <w:tcPr>
            <w:tcW w:w="3840" w:type="dxa"/>
            <w:vAlign w:val="bottom"/>
          </w:tcPr>
          <w:p>
            <w:pPr>
              <w:jc w:val="center"/>
              <w:ind w:right="1468"/>
              <w:spacing w:after="0"/>
              <w:rPr>
                <w:sz w:val="20"/>
                <w:szCs w:val="20"/>
                <w:color w:val="auto"/>
              </w:rPr>
            </w:pPr>
            <w:r>
              <w:rPr>
                <w:rFonts w:ascii="Times New Roman" w:cs="Times New Roman" w:eastAsia="Times New Roman" w:hAnsi="Times New Roman"/>
                <w:sz w:val="16"/>
                <w:szCs w:val="16"/>
                <w:b w:val="1"/>
                <w:bCs w:val="1"/>
                <w:color w:val="auto"/>
                <w:w w:val="97"/>
              </w:rPr>
              <w:t>101 N. Cherry Street</w:t>
            </w:r>
          </w:p>
        </w:tc>
        <w:tc>
          <w:tcPr>
            <w:tcW w:w="2900" w:type="dxa"/>
            <w:vAlign w:val="bottom"/>
          </w:tcPr>
          <w:p>
            <w:pPr>
              <w:spacing w:after="0"/>
              <w:rPr>
                <w:sz w:val="24"/>
                <w:szCs w:val="24"/>
                <w:color w:val="auto"/>
              </w:rPr>
            </w:pPr>
          </w:p>
        </w:tc>
      </w:tr>
      <w:tr>
        <w:trPr>
          <w:trHeight w:val="193"/>
        </w:trPr>
        <w:tc>
          <w:tcPr>
            <w:tcW w:w="3840" w:type="dxa"/>
            <w:vAlign w:val="bottom"/>
          </w:tcPr>
          <w:p>
            <w:pPr>
              <w:jc w:val="center"/>
              <w:ind w:right="1468"/>
              <w:spacing w:after="0"/>
              <w:rPr>
                <w:sz w:val="20"/>
                <w:szCs w:val="20"/>
                <w:color w:val="auto"/>
              </w:rPr>
            </w:pPr>
            <w:r>
              <w:rPr>
                <w:rFonts w:ascii="Times New Roman" w:cs="Times New Roman" w:eastAsia="Times New Roman" w:hAnsi="Times New Roman"/>
                <w:sz w:val="16"/>
                <w:szCs w:val="16"/>
                <w:b w:val="1"/>
                <w:bCs w:val="1"/>
                <w:color w:val="auto"/>
                <w:w w:val="98"/>
              </w:rPr>
              <w:t>Winston-Salem, North Carolina</w:t>
            </w:r>
          </w:p>
        </w:tc>
        <w:tc>
          <w:tcPr>
            <w:tcW w:w="2900" w:type="dxa"/>
            <w:vAlign w:val="bottom"/>
          </w:tcPr>
          <w:p>
            <w:pPr>
              <w:jc w:val="right"/>
              <w:ind w:right="389"/>
              <w:spacing w:after="0"/>
              <w:rPr>
                <w:sz w:val="20"/>
                <w:szCs w:val="20"/>
                <w:color w:val="auto"/>
              </w:rPr>
            </w:pPr>
            <w:r>
              <w:rPr>
                <w:rFonts w:ascii="Times New Roman" w:cs="Times New Roman" w:eastAsia="Times New Roman" w:hAnsi="Times New Roman"/>
                <w:sz w:val="16"/>
                <w:szCs w:val="16"/>
                <w:b w:val="1"/>
                <w:bCs w:val="1"/>
                <w:color w:val="auto"/>
              </w:rPr>
              <w:t>27101</w:t>
            </w:r>
          </w:p>
        </w:tc>
      </w:tr>
      <w:tr>
        <w:trPr>
          <w:trHeight w:val="174"/>
        </w:trPr>
        <w:tc>
          <w:tcPr>
            <w:tcW w:w="3840" w:type="dxa"/>
            <w:vAlign w:val="bottom"/>
          </w:tcPr>
          <w:p>
            <w:pPr>
              <w:jc w:val="center"/>
              <w:ind w:right="1508"/>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900" w:type="dxa"/>
            <w:vAlign w:val="bottom"/>
          </w:tcPr>
          <w:p>
            <w:pPr>
              <w:jc w:val="center"/>
              <w:ind w:left="1529"/>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173"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Hanesbrands Inc. Retirement Savings Plan</w:t>
      </w:r>
    </w:p>
    <w:p>
      <w:pPr>
        <w:spacing w:after="0" w:line="12"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Hanesbrands Inc. Salaried Retirement Savings Plan of Puerto Rico</w:t>
      </w:r>
    </w:p>
    <w:p>
      <w:pPr>
        <w:jc w:val="center"/>
        <w:ind w:right="380"/>
        <w:spacing w:after="0" w:line="234" w:lineRule="auto"/>
        <w:rPr>
          <w:sz w:val="20"/>
          <w:szCs w:val="20"/>
          <w:color w:val="auto"/>
        </w:rPr>
      </w:pPr>
      <w:r>
        <w:rPr>
          <w:rFonts w:ascii="Times New Roman" w:cs="Times New Roman" w:eastAsia="Times New Roman" w:hAnsi="Times New Roman"/>
          <w:sz w:val="16"/>
          <w:szCs w:val="16"/>
          <w:b w:val="1"/>
          <w:bCs w:val="1"/>
          <w:color w:val="auto"/>
        </w:rPr>
        <w:t>Hanesbrands Inc. Hourly Retirement Savings Plan of Puerto Rico</w:t>
      </w:r>
    </w:p>
    <w:p>
      <w:pPr>
        <w:jc w:val="center"/>
        <w:ind w:right="380"/>
        <w:spacing w:after="0" w:line="235" w:lineRule="auto"/>
        <w:rPr>
          <w:sz w:val="20"/>
          <w:szCs w:val="20"/>
          <w:color w:val="auto"/>
        </w:rPr>
      </w:pPr>
      <w:r>
        <w:rPr>
          <w:rFonts w:ascii="Times New Roman" w:cs="Times New Roman" w:eastAsia="Times New Roman" w:hAnsi="Times New Roman"/>
          <w:sz w:val="16"/>
          <w:szCs w:val="16"/>
          <w:b w:val="1"/>
          <w:bCs w:val="1"/>
          <w:color w:val="auto"/>
        </w:rPr>
        <w:t>Hanesbrands Inc. Omnibus Incentive Plan of 2006</w:t>
      </w:r>
    </w:p>
    <w:p>
      <w:pPr>
        <w:jc w:val="center"/>
        <w:ind w:right="380"/>
        <w:spacing w:after="0" w:line="235" w:lineRule="auto"/>
        <w:rPr>
          <w:sz w:val="20"/>
          <w:szCs w:val="20"/>
          <w:color w:val="auto"/>
        </w:rPr>
      </w:pPr>
      <w:r>
        <w:rPr>
          <w:rFonts w:ascii="Times New Roman" w:cs="Times New Roman" w:eastAsia="Times New Roman" w:hAnsi="Times New Roman"/>
          <w:sz w:val="16"/>
          <w:szCs w:val="16"/>
          <w:b w:val="1"/>
          <w:bCs w:val="1"/>
          <w:color w:val="auto"/>
        </w:rPr>
        <w:t>Hanesbrands Inc. Employee Stock Purchase Plan of 2006</w:t>
      </w:r>
    </w:p>
    <w:p>
      <w:pPr>
        <w:jc w:val="center"/>
        <w:ind w:right="380"/>
        <w:spacing w:after="0" w:line="235" w:lineRule="auto"/>
        <w:rPr>
          <w:sz w:val="20"/>
          <w:szCs w:val="20"/>
          <w:color w:val="auto"/>
        </w:rPr>
      </w:pPr>
      <w:r>
        <w:rPr>
          <w:rFonts w:ascii="Times New Roman" w:cs="Times New Roman" w:eastAsia="Times New Roman" w:hAnsi="Times New Roman"/>
          <w:sz w:val="16"/>
          <w:szCs w:val="16"/>
          <w:b w:val="1"/>
          <w:bCs w:val="1"/>
          <w:color w:val="auto"/>
        </w:rPr>
        <w:t>Hanesbrands Inc. Executive Deferred Compensation Plan</w:t>
      </w:r>
    </w:p>
    <w:p>
      <w:pPr>
        <w:jc w:val="center"/>
        <w:ind w:right="380"/>
        <w:spacing w:after="0" w:line="235" w:lineRule="auto"/>
        <w:rPr>
          <w:sz w:val="20"/>
          <w:szCs w:val="20"/>
          <w:color w:val="auto"/>
        </w:rPr>
      </w:pPr>
      <w:r>
        <w:rPr>
          <w:rFonts w:ascii="Times New Roman" w:cs="Times New Roman" w:eastAsia="Times New Roman" w:hAnsi="Times New Roman"/>
          <w:sz w:val="16"/>
          <w:szCs w:val="16"/>
          <w:b w:val="1"/>
          <w:bCs w:val="1"/>
          <w:color w:val="auto"/>
        </w:rPr>
        <w:t>Hanesbrands Inc. Non-Employee Director Deferred Compensation Plan</w:t>
      </w:r>
    </w:p>
    <w:p>
      <w:pPr>
        <w:jc w:val="center"/>
        <w:ind w:right="380"/>
        <w:spacing w:after="0" w:line="235" w:lineRule="auto"/>
        <w:rPr>
          <w:sz w:val="20"/>
          <w:szCs w:val="20"/>
          <w:color w:val="auto"/>
        </w:rPr>
      </w:pPr>
      <w:r>
        <w:rPr>
          <w:rFonts w:ascii="Times New Roman" w:cs="Times New Roman" w:eastAsia="Times New Roman" w:hAnsi="Times New Roman"/>
          <w:sz w:val="16"/>
          <w:szCs w:val="16"/>
          <w:b w:val="1"/>
          <w:bCs w:val="1"/>
          <w:color w:val="auto"/>
        </w:rPr>
        <w:t>Hanesbrands Inc. Omnibus Incentive Plan (As Amended and Restated)</w:t>
      </w:r>
    </w:p>
    <w:p>
      <w:pPr>
        <w:jc w:val="center"/>
        <w:ind w:right="380"/>
        <w:spacing w:after="0" w:line="235" w:lineRule="auto"/>
        <w:rPr>
          <w:sz w:val="20"/>
          <w:szCs w:val="20"/>
          <w:color w:val="auto"/>
        </w:rPr>
      </w:pPr>
      <w:r>
        <w:rPr>
          <w:rFonts w:ascii="Times New Roman" w:cs="Times New Roman" w:eastAsia="Times New Roman" w:hAnsi="Times New Roman"/>
          <w:sz w:val="16"/>
          <w:szCs w:val="16"/>
          <w:b w:val="1"/>
          <w:bCs w:val="1"/>
          <w:color w:val="auto"/>
        </w:rPr>
        <w:t>Hanesbrands Inc. 2020 Omnibus Incentive Plan</w:t>
      </w:r>
    </w:p>
    <w:p>
      <w:pPr>
        <w:jc w:val="center"/>
        <w:ind w:right="380"/>
        <w:spacing w:after="0" w:line="234" w:lineRule="auto"/>
        <w:rPr>
          <w:sz w:val="20"/>
          <w:szCs w:val="20"/>
          <w:color w:val="auto"/>
        </w:rPr>
      </w:pPr>
      <w:r>
        <w:rPr>
          <w:rFonts w:ascii="Times New Roman" w:cs="Times New Roman" w:eastAsia="Times New Roman" w:hAnsi="Times New Roman"/>
          <w:sz w:val="16"/>
          <w:szCs w:val="16"/>
          <w:b w:val="1"/>
          <w:bCs w:val="1"/>
          <w:color w:val="auto"/>
        </w:rPr>
        <w:t>Inducement Stock Option Grant Notice and Agreement</w:t>
      </w:r>
    </w:p>
    <w:p>
      <w:pPr>
        <w:jc w:val="center"/>
        <w:ind w:right="380"/>
        <w:spacing w:after="0" w:line="235" w:lineRule="auto"/>
        <w:rPr>
          <w:sz w:val="20"/>
          <w:szCs w:val="20"/>
          <w:color w:val="auto"/>
        </w:rPr>
      </w:pPr>
      <w:r>
        <w:rPr>
          <w:rFonts w:ascii="Times New Roman" w:cs="Times New Roman" w:eastAsia="Times New Roman" w:hAnsi="Times New Roman"/>
          <w:sz w:val="16"/>
          <w:szCs w:val="16"/>
          <w:b w:val="1"/>
          <w:bCs w:val="1"/>
          <w:color w:val="auto"/>
        </w:rPr>
        <w:t>Inducement Restricted Stock Unit Grant Notice and Agreement</w:t>
      </w:r>
    </w:p>
    <w:p>
      <w:pPr>
        <w:jc w:val="center"/>
        <w:ind w:right="380"/>
        <w:spacing w:after="0" w:line="235" w:lineRule="auto"/>
        <w:rPr>
          <w:sz w:val="20"/>
          <w:szCs w:val="20"/>
          <w:color w:val="auto"/>
        </w:rPr>
      </w:pPr>
      <w:r>
        <w:rPr>
          <w:rFonts w:ascii="Times New Roman" w:cs="Times New Roman" w:eastAsia="Times New Roman" w:hAnsi="Times New Roman"/>
          <w:sz w:val="16"/>
          <w:szCs w:val="16"/>
          <w:b w:val="1"/>
          <w:bCs w:val="1"/>
          <w:color w:val="auto"/>
        </w:rPr>
        <w:t>Inducement Performance Stock Unit Grant Notice and Agreement</w:t>
      </w:r>
    </w:p>
    <w:p>
      <w:pPr>
        <w:jc w:val="center"/>
        <w:ind w:right="380"/>
        <w:spacing w:after="0" w:line="235" w:lineRule="auto"/>
        <w:rPr>
          <w:sz w:val="20"/>
          <w:szCs w:val="20"/>
          <w:color w:val="auto"/>
        </w:rPr>
      </w:pPr>
      <w:r>
        <w:rPr>
          <w:rFonts w:ascii="Times New Roman" w:cs="Times New Roman" w:eastAsia="Times New Roman" w:hAnsi="Times New Roman"/>
          <w:sz w:val="16"/>
          <w:szCs w:val="16"/>
          <w:b w:val="1"/>
          <w:bCs w:val="1"/>
          <w:color w:val="auto"/>
        </w:rPr>
        <w:t>Inducement Sign-On Restricted Stock Unit Grant Notice and Agreement</w:t>
      </w:r>
    </w:p>
    <w:p>
      <w:pPr>
        <w:jc w:val="center"/>
        <w:ind w:right="380"/>
        <w:spacing w:after="0" w:line="235" w:lineRule="auto"/>
        <w:rPr>
          <w:sz w:val="20"/>
          <w:szCs w:val="20"/>
          <w:color w:val="auto"/>
        </w:rPr>
      </w:pPr>
      <w:r>
        <w:rPr>
          <w:rFonts w:ascii="Times New Roman" w:cs="Times New Roman" w:eastAsia="Times New Roman" w:hAnsi="Times New Roman"/>
          <w:sz w:val="16"/>
          <w:szCs w:val="16"/>
          <w:b w:val="1"/>
          <w:bCs w:val="1"/>
          <w:color w:val="auto"/>
        </w:rPr>
        <w:t>Inducement Long-Term Incentive Plan Restricted Stock Unit Grant Notice and Agreement</w:t>
      </w:r>
    </w:p>
    <w:p>
      <w:pPr>
        <w:jc w:val="center"/>
        <w:ind w:right="380"/>
        <w:spacing w:after="0" w:line="235" w:lineRule="auto"/>
        <w:rPr>
          <w:sz w:val="20"/>
          <w:szCs w:val="20"/>
          <w:color w:val="auto"/>
        </w:rPr>
      </w:pPr>
      <w:r>
        <w:rPr>
          <w:rFonts w:ascii="Times New Roman" w:cs="Times New Roman" w:eastAsia="Times New Roman" w:hAnsi="Times New Roman"/>
          <w:sz w:val="16"/>
          <w:szCs w:val="16"/>
          <w:b w:val="1"/>
          <w:bCs w:val="1"/>
          <w:color w:val="auto"/>
        </w:rPr>
        <w:t>Inducement Long-Term Incentive Plan Performance Stock Unit Grant Notice and Agreement</w:t>
      </w:r>
    </w:p>
    <w:p>
      <w:pPr>
        <w:jc w:val="center"/>
        <w:ind w:right="400"/>
        <w:spacing w:after="0" w:line="231" w:lineRule="auto"/>
        <w:rPr>
          <w:sz w:val="20"/>
          <w:szCs w:val="20"/>
          <w:color w:val="auto"/>
        </w:rPr>
      </w:pPr>
      <w:r>
        <w:rPr>
          <w:rFonts w:ascii="Times New Roman" w:cs="Times New Roman" w:eastAsia="Times New Roman" w:hAnsi="Times New Roman"/>
          <w:sz w:val="16"/>
          <w:szCs w:val="16"/>
          <w:b w:val="1"/>
          <w:bCs w:val="1"/>
          <w:color w:val="auto"/>
        </w:rPr>
        <w:t>Hanesbrands Inc. 2020 Omnibus Incentive Plan, as Amended</w:t>
      </w:r>
    </w:p>
    <w:p>
      <w:pPr>
        <w:spacing w:after="0" w:line="1"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(Full title of the plans)</w:t>
      </w:r>
    </w:p>
    <w:p>
      <w:pPr>
        <w:spacing w:after="0" w:line="181"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Hanesbrands LLC</w:t>
      </w:r>
    </w:p>
    <w:p>
      <w:pPr>
        <w:spacing w:after="0" w:line="12"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101 North Cherry Street,</w:t>
      </w:r>
    </w:p>
    <w:p>
      <w:pPr>
        <w:jc w:val="center"/>
        <w:ind w:right="380"/>
        <w:spacing w:after="0" w:line="234" w:lineRule="auto"/>
        <w:rPr>
          <w:sz w:val="20"/>
          <w:szCs w:val="20"/>
          <w:color w:val="auto"/>
        </w:rPr>
      </w:pPr>
      <w:r>
        <w:rPr>
          <w:rFonts w:ascii="Times New Roman" w:cs="Times New Roman" w:eastAsia="Times New Roman" w:hAnsi="Times New Roman"/>
          <w:sz w:val="16"/>
          <w:szCs w:val="16"/>
          <w:b w:val="1"/>
          <w:bCs w:val="1"/>
          <w:color w:val="auto"/>
        </w:rPr>
        <w:t>Winston-Salem, NC 27101</w:t>
      </w:r>
    </w:p>
    <w:p>
      <w:pPr>
        <w:jc w:val="center"/>
        <w:ind w:right="380"/>
        <w:spacing w:after="0" w:line="232" w:lineRule="auto"/>
        <w:rPr>
          <w:sz w:val="20"/>
          <w:szCs w:val="20"/>
          <w:color w:val="auto"/>
        </w:rPr>
      </w:pPr>
      <w:r>
        <w:rPr>
          <w:rFonts w:ascii="Times New Roman" w:cs="Times New Roman" w:eastAsia="Times New Roman" w:hAnsi="Times New Roman"/>
          <w:sz w:val="16"/>
          <w:szCs w:val="16"/>
          <w:b w:val="1"/>
          <w:bCs w:val="1"/>
          <w:color w:val="auto"/>
        </w:rPr>
        <w:t>(336) 519-8080</w:t>
      </w:r>
    </w:p>
    <w:p>
      <w:pPr>
        <w:ind w:left="2240"/>
        <w:spacing w:after="0"/>
        <w:rPr>
          <w:sz w:val="20"/>
          <w:szCs w:val="20"/>
          <w:color w:val="auto"/>
        </w:rPr>
      </w:pPr>
      <w:r>
        <w:rPr>
          <w:rFonts w:ascii="Times New Roman" w:cs="Times New Roman" w:eastAsia="Times New Roman" w:hAnsi="Times New Roman"/>
          <w:sz w:val="13"/>
          <w:szCs w:val="13"/>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2206625</wp:posOffset>
            </wp:positionH>
            <wp:positionV relativeFrom="paragraph">
              <wp:posOffset>208280</wp:posOffset>
            </wp:positionV>
            <wp:extent cx="130365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6"/>
          <w:szCs w:val="16"/>
          <w:b w:val="1"/>
          <w:bCs w:val="1"/>
          <w:i w:val="1"/>
          <w:iCs w:val="1"/>
          <w:color w:val="auto"/>
        </w:rPr>
        <w:t>Copy to:</w:t>
      </w:r>
    </w:p>
    <w:p>
      <w:pPr>
        <w:spacing w:after="0" w:line="94"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Matthew B. Goodman</w:t>
      </w:r>
    </w:p>
    <w:p>
      <w:pPr>
        <w:spacing w:after="0" w:line="12"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Mario Schollmeyer</w:t>
      </w:r>
    </w:p>
    <w:p>
      <w:pPr>
        <w:jc w:val="center"/>
        <w:ind w:right="380"/>
        <w:spacing w:after="0" w:line="234" w:lineRule="auto"/>
        <w:rPr>
          <w:sz w:val="20"/>
          <w:szCs w:val="20"/>
          <w:color w:val="auto"/>
        </w:rPr>
      </w:pPr>
      <w:r>
        <w:rPr>
          <w:rFonts w:ascii="Times New Roman" w:cs="Times New Roman" w:eastAsia="Times New Roman" w:hAnsi="Times New Roman"/>
          <w:sz w:val="16"/>
          <w:szCs w:val="16"/>
          <w:b w:val="1"/>
          <w:bCs w:val="1"/>
          <w:color w:val="auto"/>
        </w:rPr>
        <w:t>Sullivan &amp; Cromwell LLP</w:t>
      </w:r>
    </w:p>
    <w:p>
      <w:pPr>
        <w:spacing w:after="0" w:line="1"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125 Broad Street</w:t>
      </w:r>
    </w:p>
    <w:p>
      <w:pPr>
        <w:sectPr>
          <w:pgSz w:w="11900" w:h="16840" w:orient="portrait"/>
          <w:cols w:equalWidth="0" w:num="1">
            <w:col w:w="9400"/>
          </w:cols>
          <w:pgMar w:left="1440" w:top="555" w:right="1060" w:bottom="1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6"/>
          <w:szCs w:val="16"/>
          <w:b w:val="1"/>
          <w:bCs w:val="1"/>
          <w:color w:val="auto"/>
        </w:rPr>
        <w:t>New York, NY 10004</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(212) 558-4000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200025</wp:posOffset>
            </wp:positionV>
            <wp:extent cx="130365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right="360"/>
        <w:spacing w:after="0" w:line="24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anon-accelerated filer, a smaller reporting company or an emerging growth company. See the definitions of “large accelerated filer,” “accelerated filer,” “smaller reporting company” and “emerging growth company” in Rule 12b-2 of the Exchange Act.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10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4700" w:type="dxa"/>
            <w:vAlign w:val="bottom"/>
          </w:tcPr>
          <w:p>
            <w:pPr>
              <w:ind w:left="2760"/>
              <w:spacing w:after="0"/>
              <w:rPr>
                <w:sz w:val="20"/>
                <w:szCs w:val="20"/>
                <w:color w:val="auto"/>
              </w:rPr>
            </w:pPr>
            <w:r>
              <w:rPr>
                <w:rFonts w:ascii="Times New Roman" w:cs="Times New Roman" w:eastAsia="Times New Roman" w:hAnsi="Times New Roman"/>
                <w:sz w:val="16"/>
                <w:szCs w:val="16"/>
                <w:color w:val="auto"/>
              </w:rPr>
              <w:t>Accelerated filer</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6"/>
        </w:trPr>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10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4700" w:type="dxa"/>
            <w:vAlign w:val="bottom"/>
          </w:tcPr>
          <w:p>
            <w:pPr>
              <w:ind w:left="27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6"/>
        </w:trPr>
        <w:tc>
          <w:tcPr>
            <w:tcW w:w="15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700" w:type="dxa"/>
            <w:vAlign w:val="bottom"/>
          </w:tcPr>
          <w:p>
            <w:pPr>
              <w:ind w:left="2760"/>
              <w:spacing w:after="0"/>
              <w:rPr>
                <w:sz w:val="20"/>
                <w:szCs w:val="20"/>
                <w:color w:val="auto"/>
              </w:rPr>
            </w:pPr>
            <w:r>
              <w:rPr>
                <w:rFonts w:ascii="Times New Roman" w:cs="Times New Roman" w:eastAsia="Times New Roman" w:hAnsi="Times New Roman"/>
                <w:sz w:val="16"/>
                <w:szCs w:val="16"/>
                <w:color w:val="auto"/>
              </w:rPr>
              <w:t>Emerging growth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43" w:lineRule="exact"/>
        <w:rPr>
          <w:sz w:val="20"/>
          <w:szCs w:val="20"/>
          <w:color w:val="auto"/>
        </w:rPr>
      </w:pPr>
    </w:p>
    <w:p>
      <w:pPr>
        <w:spacing w:after="0" w:line="205" w:lineRule="exact"/>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r>
        <w:rPr>
          <w:rFonts w:ascii="Arial" w:cs="Arial" w:eastAsia="Arial" w:hAnsi="Arial"/>
          <w:sz w:val="16"/>
          <w:szCs w:val="16"/>
          <w:color w:val="auto"/>
        </w:rPr>
        <w:t xml:space="preserve">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99695</wp:posOffset>
            </wp:positionV>
            <wp:extent cx="621982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19825" cy="76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137795</wp:posOffset>
            </wp:positionV>
            <wp:extent cx="621982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19825" cy="7620"/>
                    </a:xfrm>
                    <a:prstGeom prst="rect">
                      <a:avLst/>
                    </a:prstGeom>
                    <a:noFill/>
                  </pic:spPr>
                </pic:pic>
              </a:graphicData>
            </a:graphic>
          </wp:anchor>
        </w:drawing>
      </w:r>
    </w:p>
    <w:p>
      <w:pPr>
        <w:sectPr>
          <w:pgSz w:w="11900" w:h="16840" w:orient="portrait"/>
          <w:cols w:equalWidth="0" w:num="1">
            <w:col w:w="9760"/>
          </w:cols>
          <w:pgMar w:left="1060" w:top="555" w:right="108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48145" cy="35560"/>
                    </a:xfrm>
                    <a:prstGeom prst="rect">
                      <a:avLst/>
                    </a:prstGeom>
                    <a:noFill/>
                  </pic:spPr>
                </pic:pic>
              </a:graphicData>
            </a:graphic>
          </wp:anchor>
        </w:drawing>
        <w:t>DEREGISTRATION OF SECURITIES</w:t>
      </w:r>
    </w:p>
    <w:p>
      <w:pPr>
        <w:spacing w:after="0" w:line="190" w:lineRule="exact"/>
        <w:rPr>
          <w:sz w:val="20"/>
          <w:szCs w:val="20"/>
          <w:color w:val="auto"/>
        </w:rPr>
      </w:pPr>
    </w:p>
    <w:p>
      <w:pPr>
        <w:ind w:right="180" w:firstLine="384"/>
        <w:spacing w:after="0" w:line="243" w:lineRule="auto"/>
        <w:rPr>
          <w:sz w:val="20"/>
          <w:szCs w:val="20"/>
          <w:color w:val="auto"/>
        </w:rPr>
      </w:pPr>
      <w:r>
        <w:rPr>
          <w:rFonts w:ascii="Times New Roman" w:cs="Times New Roman" w:eastAsia="Times New Roman" w:hAnsi="Times New Roman"/>
          <w:sz w:val="16"/>
          <w:szCs w:val="16"/>
          <w:color w:val="auto"/>
        </w:rPr>
        <w:t>Hanesbrands LLC (f/k/a Hanesbrands Inc.) (the “Company”) is filing these post- effective amendments (these “Post-Effective Amendments”) to the following Registration Statements on Form S-8 (the “Registration Statements”), which have been previously filed with the U.S. Securities and Exchange Commission (the “SEC”), to deregister any and all securities of the Company registered but unsold or otherwise unissued under such Registration Statements as of the date hereof:</w:t>
      </w:r>
    </w:p>
    <w:p>
      <w:pPr>
        <w:spacing w:after="0" w:line="95" w:lineRule="exact"/>
        <w:rPr>
          <w:sz w:val="20"/>
          <w:szCs w:val="20"/>
          <w:color w:val="auto"/>
        </w:rPr>
      </w:pPr>
    </w:p>
    <w:p>
      <w:pPr>
        <w:jc w:val="both"/>
        <w:ind w:left="860" w:right="80" w:hanging="390"/>
        <w:spacing w:after="0" w:line="277" w:lineRule="auto"/>
        <w:tabs>
          <w:tab w:leader="none" w:pos="8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No. 333-137143, filed with the SEC on September 6, 2006, relating to the Hanesbrands Inc. Retirement Savings Plan, the Hanesbrands Inc. Salaried Retirement Savings Plan of Puerto Rico, the Hanesbrands Inc. Hourly Retirement Savings Plan of Puerto Rico, the Hanesbrands Inc. Omnibus Incentive Plan of 2006, the Hanesbrands Inc. Employee Stock Purchase Plan of 2006, the Hanesbrands Inc.</w:t>
      </w:r>
    </w:p>
    <w:p>
      <w:pPr>
        <w:ind w:left="8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Executive Deferred Compensation Plan, and the Hanesbrands Inc. Non-Employee Director Deferred Compensation Plan;</w:t>
      </w:r>
    </w:p>
    <w:p>
      <w:pPr>
        <w:spacing w:after="0" w:line="98" w:lineRule="exact"/>
        <w:rPr>
          <w:rFonts w:ascii="Times New Roman" w:cs="Times New Roman" w:eastAsia="Times New Roman" w:hAnsi="Times New Roman"/>
          <w:sz w:val="14"/>
          <w:szCs w:val="14"/>
          <w:color w:val="auto"/>
        </w:rPr>
      </w:pPr>
    </w:p>
    <w:p>
      <w:pPr>
        <w:ind w:left="860" w:right="160" w:hanging="390"/>
        <w:spacing w:after="0" w:line="247" w:lineRule="auto"/>
        <w:tabs>
          <w:tab w:leader="none" w:pos="8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No. 333-188168, filed with the SEC on April 26, 2013, relating to the Hanesbrands Inc. Omnibus Incentive Plan (As Amended and Restated), as amended by Post-Effective Amendment No. 1 to Form S-8, filed with the SEC on May 8, 2020, relating to the Hanesbrands Inc. Omnibus Incentive Plan (As Amended and Restated), and the Hanesbrands Inc. 2020 Omnibus Incentive Plan;</w:t>
      </w:r>
    </w:p>
    <w:p>
      <w:pPr>
        <w:spacing w:after="0" w:line="92" w:lineRule="exact"/>
        <w:rPr>
          <w:rFonts w:ascii="Times New Roman" w:cs="Times New Roman" w:eastAsia="Times New Roman" w:hAnsi="Times New Roman"/>
          <w:sz w:val="16"/>
          <w:szCs w:val="16"/>
          <w:color w:val="auto"/>
        </w:rPr>
      </w:pPr>
    </w:p>
    <w:p>
      <w:pPr>
        <w:ind w:left="860" w:right="460" w:hanging="390"/>
        <w:spacing w:after="0" w:line="259" w:lineRule="auto"/>
        <w:tabs>
          <w:tab w:leader="none" w:pos="8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No. 333-214449, filed with the SEC on November 4, 2016, relating to the Hanesbrands Inc. Executive Deferred Compensation Plan and the Hanesbrands Inc. Non-Employee Director Deferred Compensation Plan;</w:t>
      </w:r>
    </w:p>
    <w:p>
      <w:pPr>
        <w:spacing w:after="0" w:line="83" w:lineRule="exact"/>
        <w:rPr>
          <w:rFonts w:ascii="Times New Roman" w:cs="Times New Roman" w:eastAsia="Times New Roman" w:hAnsi="Times New Roman"/>
          <w:sz w:val="16"/>
          <w:szCs w:val="16"/>
          <w:color w:val="auto"/>
        </w:rPr>
      </w:pPr>
    </w:p>
    <w:p>
      <w:pPr>
        <w:ind w:left="860" w:hanging="390"/>
        <w:spacing w:after="0"/>
        <w:tabs>
          <w:tab w:leader="none" w:pos="8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No. 333-238100, filed with the SEC on May 8, 2020, relating to the Hanesbrands Inc. 2020 Omnibus Incentive Plan;</w:t>
      </w:r>
    </w:p>
    <w:p>
      <w:pPr>
        <w:spacing w:after="0" w:line="139" w:lineRule="exact"/>
        <w:rPr>
          <w:rFonts w:ascii="Times New Roman" w:cs="Times New Roman" w:eastAsia="Times New Roman" w:hAnsi="Times New Roman"/>
          <w:sz w:val="14"/>
          <w:szCs w:val="14"/>
          <w:color w:val="auto"/>
        </w:rPr>
      </w:pPr>
    </w:p>
    <w:p>
      <w:pPr>
        <w:ind w:left="860" w:right="240" w:hanging="390"/>
        <w:spacing w:after="0" w:line="247" w:lineRule="auto"/>
        <w:tabs>
          <w:tab w:leader="none" w:pos="8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No. 333-240312, filed with the SEC on August 3, 2020, relating to the Inducement Stock Option Grant Notice and Agreement, the Inducement Restricted Stock Unit Grant Notice and Agreement, and the Inducement Performance Stock Unit Grant Notice and Agreement;</w:t>
      </w:r>
    </w:p>
    <w:p>
      <w:pPr>
        <w:spacing w:after="0" w:line="92" w:lineRule="exact"/>
        <w:rPr>
          <w:rFonts w:ascii="Times New Roman" w:cs="Times New Roman" w:eastAsia="Times New Roman" w:hAnsi="Times New Roman"/>
          <w:sz w:val="16"/>
          <w:szCs w:val="16"/>
          <w:color w:val="auto"/>
        </w:rPr>
      </w:pPr>
    </w:p>
    <w:p>
      <w:pPr>
        <w:ind w:left="860" w:right="140" w:hanging="390"/>
        <w:spacing w:after="0" w:line="247" w:lineRule="auto"/>
        <w:tabs>
          <w:tab w:leader="none" w:pos="8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No. 333-248667, filed with the SEC on September 8, 2020, relating to the Inducement Sign-On Restricted Stock Unit Grant Notice and Agreement, the Inducement Long-Term Incentive Plan Restricted Stock Unit Grant Notice and Agreement, and the Inducement Long-Term Incentive Plan Performance Stock Unit Grant Notice and Agreement;</w:t>
      </w:r>
    </w:p>
    <w:p>
      <w:pPr>
        <w:spacing w:after="0" w:line="92" w:lineRule="exact"/>
        <w:rPr>
          <w:rFonts w:ascii="Times New Roman" w:cs="Times New Roman" w:eastAsia="Times New Roman" w:hAnsi="Times New Roman"/>
          <w:sz w:val="16"/>
          <w:szCs w:val="16"/>
          <w:color w:val="auto"/>
        </w:rPr>
      </w:pPr>
    </w:p>
    <w:p>
      <w:pPr>
        <w:ind w:left="860" w:hanging="390"/>
        <w:spacing w:after="0" w:line="259" w:lineRule="auto"/>
        <w:tabs>
          <w:tab w:leader="none" w:pos="8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No. 333-271608, filed with the SEC on May 3, 2023, relating to the Hanesbrands Inc. 2020 Omnibus Incentive Plan, as Amended;</w:t>
      </w:r>
    </w:p>
    <w:p>
      <w:pPr>
        <w:spacing w:after="0" w:line="83" w:lineRule="exact"/>
        <w:rPr>
          <w:rFonts w:ascii="Times New Roman" w:cs="Times New Roman" w:eastAsia="Times New Roman" w:hAnsi="Times New Roman"/>
          <w:sz w:val="16"/>
          <w:szCs w:val="16"/>
          <w:color w:val="auto"/>
        </w:rPr>
      </w:pPr>
    </w:p>
    <w:p>
      <w:pPr>
        <w:ind w:left="860" w:right="280" w:hanging="390"/>
        <w:spacing w:after="0" w:line="259" w:lineRule="auto"/>
        <w:tabs>
          <w:tab w:leader="none" w:pos="8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No. 333-289653, filed with the SEC on August 15, 2025, relating to the Hanesbrands Inc. 2020 Omnibus Incentive Plan, as Amended.</w:t>
      </w:r>
    </w:p>
    <w:p>
      <w:pPr>
        <w:spacing w:after="0" w:line="153" w:lineRule="exact"/>
        <w:rPr>
          <w:sz w:val="20"/>
          <w:szCs w:val="20"/>
          <w:color w:val="auto"/>
        </w:rPr>
      </w:pPr>
    </w:p>
    <w:p>
      <w:pPr>
        <w:ind w:right="140" w:firstLine="384"/>
        <w:spacing w:after="0"/>
        <w:rPr>
          <w:sz w:val="20"/>
          <w:szCs w:val="20"/>
          <w:color w:val="auto"/>
        </w:rPr>
      </w:pPr>
      <w:r>
        <w:rPr>
          <w:rFonts w:ascii="Times New Roman" w:cs="Times New Roman" w:eastAsia="Times New Roman" w:hAnsi="Times New Roman"/>
          <w:sz w:val="16"/>
          <w:szCs w:val="16"/>
          <w:color w:val="auto"/>
        </w:rPr>
        <w:t xml:space="preserve">On December 1, 2025, Gildan Activewear, Inc., a corporation incorporated under the </w:t>
      </w:r>
      <w:r>
        <w:rPr>
          <w:rFonts w:ascii="Times New Roman" w:cs="Times New Roman" w:eastAsia="Times New Roman" w:hAnsi="Times New Roman"/>
          <w:sz w:val="16"/>
          <w:szCs w:val="16"/>
          <w:i w:val="1"/>
          <w:iCs w:val="1"/>
          <w:color w:val="auto"/>
        </w:rPr>
        <w:t>Canada Business Corporations Act</w:t>
      </w:r>
      <w:r>
        <w:rPr>
          <w:rFonts w:ascii="Times New Roman" w:cs="Times New Roman" w:eastAsia="Times New Roman" w:hAnsi="Times New Roman"/>
          <w:sz w:val="16"/>
          <w:szCs w:val="16"/>
          <w:color w:val="auto"/>
        </w:rPr>
        <w:t xml:space="preserve"> (“Gildan”), acquired the Company through multiple steps, pursuant to an Agreement and Plan of Merger, dated as of August 13, 2025 (the “Merger Agreement”), by and among Gildan, Galaxy Merger Sub 2, Inc., a Maryland corporation and direct wholly owned subsidiary of Gildan (“Second Gildan Merger Sub”), Galaxy Merger Sub 1, Inc., a Maryland corporation and direct wholly owned subsidiary of Second Gildan Merger Sub (“First Gildan Merger Sub”), Hanesbrands, Helios Holdco, Inc., a Maryland corporation and direct wholly owned subsidiary of Hanesbrands (“Hanesbrands Holdco”), and Helios Merger Sub, Inc., a Maryland corporation and direct wholly owned subsidiary of Hanesbrands Holdco (“Hanesbrands Merger Sub”).</w:t>
      </w:r>
    </w:p>
    <w:p>
      <w:pPr>
        <w:sectPr>
          <w:pgSz w:w="11900" w:h="16840" w:orient="portrait"/>
          <w:cols w:equalWidth="0" w:num="1">
            <w:col w:w="9760"/>
          </w:cols>
          <w:pgMar w:left="1060" w:top="687" w:right="1080" w:bottom="1440" w:gutter="0" w:footer="0" w:header="0"/>
        </w:sectPr>
      </w:pPr>
    </w:p>
    <w:bookmarkStart w:id="3" w:name="page4"/>
    <w:bookmarkEnd w:id="3"/>
    <w:p>
      <w:pPr>
        <w:ind w:left="3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48145" cy="35560"/>
                    </a:xfrm>
                    <a:prstGeom prst="rect">
                      <a:avLst/>
                    </a:prstGeom>
                    <a:noFill/>
                  </pic:spPr>
                </pic:pic>
              </a:graphicData>
            </a:graphic>
          </wp:anchor>
        </w:drawing>
        <w:t>On December 1, 2025, upon the terms and subject to the conditions set forth in the Merger Agreement (collectively, the “Transactions”):</w:t>
      </w:r>
    </w:p>
    <w:p>
      <w:pPr>
        <w:spacing w:after="0" w:line="116" w:lineRule="exact"/>
        <w:rPr>
          <w:sz w:val="20"/>
          <w:szCs w:val="20"/>
          <w:color w:val="auto"/>
        </w:rPr>
      </w:pPr>
    </w:p>
    <w:p>
      <w:pPr>
        <w:ind w:left="1260" w:hanging="394"/>
        <w:spacing w:after="0" w:line="259" w:lineRule="auto"/>
        <w:tabs>
          <w:tab w:leader="none" w:pos="12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Hanesbrands Merger Sub merged with and into Hanesbrands Inc., with Hanesbrands Inc. surviving as a direct wholly owned subsidiary of Hanesbrands Holdco;</w:t>
      </w:r>
    </w:p>
    <w:p>
      <w:pPr>
        <w:spacing w:after="0" w:line="83" w:lineRule="exact"/>
        <w:rPr>
          <w:rFonts w:ascii="Times New Roman" w:cs="Times New Roman" w:eastAsia="Times New Roman" w:hAnsi="Times New Roman"/>
          <w:sz w:val="16"/>
          <w:szCs w:val="16"/>
          <w:color w:val="auto"/>
        </w:rPr>
      </w:pPr>
    </w:p>
    <w:p>
      <w:pPr>
        <w:ind w:left="1260" w:hanging="394"/>
        <w:spacing w:after="0"/>
        <w:tabs>
          <w:tab w:leader="none" w:pos="12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Hanesbrands Inc. converted into a Maryland limited liability company;</w:t>
      </w:r>
    </w:p>
    <w:p>
      <w:pPr>
        <w:spacing w:after="0" w:line="116" w:lineRule="exact"/>
        <w:rPr>
          <w:rFonts w:ascii="Times New Roman" w:cs="Times New Roman" w:eastAsia="Times New Roman" w:hAnsi="Times New Roman"/>
          <w:sz w:val="16"/>
          <w:szCs w:val="16"/>
          <w:color w:val="auto"/>
        </w:rPr>
      </w:pPr>
    </w:p>
    <w:p>
      <w:pPr>
        <w:ind w:left="1260" w:right="280" w:hanging="394"/>
        <w:spacing w:after="0" w:line="259" w:lineRule="auto"/>
        <w:tabs>
          <w:tab w:leader="none" w:pos="12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First Gildan Merger Sub merged with and into Hanesbrands Holdco, with Hanesbrands Holdco surviving as a direct wholly owned subsidiary of Second Gildan Merger Sub; and</w:t>
      </w:r>
    </w:p>
    <w:p>
      <w:pPr>
        <w:spacing w:after="0" w:line="83" w:lineRule="exact"/>
        <w:rPr>
          <w:rFonts w:ascii="Times New Roman" w:cs="Times New Roman" w:eastAsia="Times New Roman" w:hAnsi="Times New Roman"/>
          <w:sz w:val="16"/>
          <w:szCs w:val="16"/>
          <w:color w:val="auto"/>
        </w:rPr>
      </w:pPr>
    </w:p>
    <w:p>
      <w:pPr>
        <w:ind w:left="1260" w:right="160" w:hanging="394"/>
        <w:spacing w:after="0" w:line="259" w:lineRule="auto"/>
        <w:tabs>
          <w:tab w:leader="none" w:pos="12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Hanesbrands Holdco merged with and into Second Gildan Merger Sub, with Second Gildan Merger Sub surviving as a direct wholly owned subsidiary of Gildan.</w:t>
      </w:r>
    </w:p>
    <w:p>
      <w:pPr>
        <w:spacing w:after="0" w:line="155" w:lineRule="exact"/>
        <w:rPr>
          <w:sz w:val="20"/>
          <w:szCs w:val="20"/>
          <w:color w:val="auto"/>
        </w:rPr>
      </w:pPr>
    </w:p>
    <w:p>
      <w:pPr>
        <w:ind w:right="20" w:firstLine="384"/>
        <w:spacing w:after="0" w:line="241" w:lineRule="auto"/>
        <w:rPr>
          <w:sz w:val="20"/>
          <w:szCs w:val="20"/>
          <w:color w:val="auto"/>
        </w:rPr>
      </w:pPr>
      <w:r>
        <w:rPr>
          <w:rFonts w:ascii="Times New Roman" w:cs="Times New Roman" w:eastAsia="Times New Roman" w:hAnsi="Times New Roman"/>
          <w:sz w:val="16"/>
          <w:szCs w:val="16"/>
          <w:color w:val="auto"/>
        </w:rPr>
        <w:t>As a result of the Transactions, the Company has terminated all offerings of its securities pursuant to the Registration Statements. In accordance with an undertaking made by the Company in the Registration Statements to remove from registration, by means of these Post-Effective Amendments, any securities that had been registered but remain unsold at the termination of the offering, the Company hereby amends the Registration Statements to remove from registration all securities, as applicable, registered under the Registration Statements that remain unsold as of the date of these Post-Effective Amendments.</w:t>
      </w:r>
    </w:p>
    <w:p>
      <w:pPr>
        <w:sectPr>
          <w:pgSz w:w="11900" w:h="16840" w:orient="portrait"/>
          <w:cols w:equalWidth="0" w:num="1">
            <w:col w:w="9700"/>
          </w:cols>
          <w:pgMar w:left="1060" w:top="689" w:right="1140" w:bottom="1440" w:gutter="0" w:footer="0" w:header="0"/>
        </w:sectPr>
      </w:pPr>
    </w:p>
    <w:bookmarkStart w:id="4" w:name="page5"/>
    <w:bookmarkEnd w:id="4"/>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48145" cy="35560"/>
                    </a:xfrm>
                    <a:prstGeom prst="rect">
                      <a:avLst/>
                    </a:prstGeom>
                    <a:noFill/>
                  </pic:spPr>
                </pic:pic>
              </a:graphicData>
            </a:graphic>
          </wp:anchor>
        </w:drawing>
        <w:t>SIGNATURES</w:t>
      </w:r>
    </w:p>
    <w:p>
      <w:pPr>
        <w:spacing w:after="0" w:line="190" w:lineRule="exact"/>
        <w:rPr>
          <w:sz w:val="20"/>
          <w:szCs w:val="20"/>
          <w:color w:val="auto"/>
        </w:rPr>
      </w:pPr>
    </w:p>
    <w:p>
      <w:pPr>
        <w:ind w:firstLine="384"/>
        <w:spacing w:after="0" w:line="247" w:lineRule="auto"/>
        <w:rPr>
          <w:sz w:val="20"/>
          <w:szCs w:val="20"/>
          <w:color w:val="auto"/>
        </w:rPr>
      </w:pPr>
      <w:r>
        <w:rPr>
          <w:rFonts w:ascii="Times New Roman" w:cs="Times New Roman" w:eastAsia="Times New Roman" w:hAnsi="Times New Roman"/>
          <w:sz w:val="16"/>
          <w:szCs w:val="16"/>
          <w:color w:val="auto"/>
        </w:rPr>
        <w:t>Pursuant to the requirements of the Securities Act of 1933, the registrant certifies that it has reasonable grounds to believe that it meets all of the requirements for filing on Form S-8 and has duly caused these Post-Effective Amendments to the Registration Statements described above to be signed on its behalf by the undersigned, thereunto duly authorized, in Montréal, Québec, Canada, on December 1, 2025.</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Hanesbrands LLC</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Anne St-Pierre</w:t>
            </w:r>
          </w:p>
        </w:tc>
      </w:tr>
      <w:tr>
        <w:trPr>
          <w:trHeight w:val="171"/>
        </w:trPr>
        <w:tc>
          <w:tcPr>
            <w:tcW w:w="54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Name:</w:t>
            </w:r>
          </w:p>
        </w:tc>
        <w:tc>
          <w:tcPr>
            <w:tcW w:w="336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Anne St-Pierre</w:t>
            </w:r>
          </w:p>
        </w:tc>
      </w:tr>
      <w:tr>
        <w:trPr>
          <w:trHeight w:val="203"/>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Authorized Signatory</w:t>
            </w:r>
          </w:p>
        </w:tc>
      </w:tr>
    </w:tbl>
    <w:p>
      <w:pPr>
        <w:spacing w:after="0" w:line="1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No other person is required to sign these Post-Effective Amendments in reliance on Rule 478 of the Securities Act of 1933.</w:t>
      </w:r>
    </w:p>
    <w:sectPr>
      <w:pgSz w:w="11900" w:h="16840" w:orient="portrait"/>
      <w:cols w:equalWidth="0" w:num="1">
        <w:col w:w="9640"/>
      </w:cols>
      <w:pgMar w:left="1060" w:top="687" w:right="120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2025-12-01T16:53:10Z</dcterms:created>
  <dcterms:modified xsi:type="dcterms:W3CDTF">2025-12-01T16:53:10Z</dcterms:modified>
</cp:coreProperties>
</file>