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December 1, 2025</w:t>
      </w:r>
    </w:p>
    <w:p>
      <w:pPr>
        <w:spacing w:after="0" w:line="18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333-137143</w:t>
      </w:r>
    </w:p>
    <w:p>
      <w:pPr>
        <w:spacing w:after="0" w:line="1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333-188168</w:t>
      </w:r>
    </w:p>
    <w:p>
      <w:pPr>
        <w:jc w:val="right"/>
        <w:spacing w:after="0" w:line="234" w:lineRule="auto"/>
        <w:rPr>
          <w:sz w:val="20"/>
          <w:szCs w:val="20"/>
          <w:color w:val="auto"/>
        </w:rPr>
      </w:pPr>
      <w:r>
        <w:rPr>
          <w:rFonts w:ascii="Times New Roman" w:cs="Times New Roman" w:eastAsia="Times New Roman" w:hAnsi="Times New Roman"/>
          <w:sz w:val="16"/>
          <w:szCs w:val="16"/>
          <w:b w:val="1"/>
          <w:bCs w:val="1"/>
          <w:color w:val="auto"/>
        </w:rPr>
        <w:t>Registration No. 333-214449</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333-238100</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333-240312</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333-248667</w:t>
      </w:r>
    </w:p>
    <w:p>
      <w:pPr>
        <w:jc w:val="right"/>
        <w:spacing w:after="0" w:line="235" w:lineRule="auto"/>
        <w:rPr>
          <w:sz w:val="20"/>
          <w:szCs w:val="20"/>
          <w:color w:val="auto"/>
        </w:rPr>
      </w:pPr>
      <w:r>
        <w:rPr>
          <w:rFonts w:ascii="Times New Roman" w:cs="Times New Roman" w:eastAsia="Times New Roman" w:hAnsi="Times New Roman"/>
          <w:sz w:val="16"/>
          <w:szCs w:val="16"/>
          <w:b w:val="1"/>
          <w:bCs w:val="1"/>
          <w:color w:val="auto"/>
        </w:rPr>
        <w:t>Registration No. 333-271608</w:t>
      </w: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333-289653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-247015</wp:posOffset>
            </wp:positionH>
            <wp:positionV relativeFrom="paragraph">
              <wp:posOffset>55245</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93345</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pacing w:after="0" w:line="169"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206375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POST-EFFECTIVE AMENDMENT NO. 1</w:t>
      </w:r>
    </w:p>
    <w:p>
      <w:pPr>
        <w:spacing w:after="0" w:line="3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2"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6"/>
          <w:szCs w:val="16"/>
          <w:b w:val="1"/>
          <w:bCs w:val="1"/>
          <w:color w:val="auto"/>
        </w:rPr>
        <w:t>FORM S-8 REGISTRATION STATEMENT NO. 333-137143</w:t>
      </w:r>
    </w:p>
    <w:p>
      <w:pPr>
        <w:ind w:left="2440"/>
        <w:spacing w:after="0" w:line="234" w:lineRule="auto"/>
        <w:rPr>
          <w:sz w:val="20"/>
          <w:szCs w:val="20"/>
          <w:color w:val="auto"/>
        </w:rPr>
      </w:pPr>
      <w:r>
        <w:rPr>
          <w:rFonts w:ascii="Times New Roman" w:cs="Times New Roman" w:eastAsia="Times New Roman" w:hAnsi="Times New Roman"/>
          <w:sz w:val="16"/>
          <w:szCs w:val="16"/>
          <w:b w:val="1"/>
          <w:bCs w:val="1"/>
          <w:color w:val="auto"/>
        </w:rPr>
        <w:t>FORM S-8 REGISTRATION STATEMENT NO. 333-214449</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333-238100</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333-240312</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333-248667</w:t>
      </w:r>
    </w:p>
    <w:p>
      <w:pPr>
        <w:ind w:left="2440"/>
        <w:spacing w:after="0" w:line="235" w:lineRule="auto"/>
        <w:rPr>
          <w:sz w:val="20"/>
          <w:szCs w:val="20"/>
          <w:color w:val="auto"/>
        </w:rPr>
      </w:pPr>
      <w:r>
        <w:rPr>
          <w:rFonts w:ascii="Times New Roman" w:cs="Times New Roman" w:eastAsia="Times New Roman" w:hAnsi="Times New Roman"/>
          <w:sz w:val="16"/>
          <w:szCs w:val="16"/>
          <w:b w:val="1"/>
          <w:bCs w:val="1"/>
          <w:color w:val="auto"/>
        </w:rPr>
        <w:t>FORM S-8 REGISTRATION STATEMENT NO. 333-271608</w:t>
      </w:r>
    </w:p>
    <w:p>
      <w:pPr>
        <w:ind w:left="2440"/>
        <w:spacing w:after="0"/>
        <w:rPr>
          <w:sz w:val="20"/>
          <w:szCs w:val="20"/>
          <w:color w:val="auto"/>
        </w:rPr>
      </w:pPr>
      <w:r>
        <w:rPr>
          <w:rFonts w:ascii="Times New Roman" w:cs="Times New Roman" w:eastAsia="Times New Roman" w:hAnsi="Times New Roman"/>
          <w:sz w:val="16"/>
          <w:szCs w:val="16"/>
          <w:b w:val="1"/>
          <w:bCs w:val="1"/>
          <w:color w:val="auto"/>
        </w:rPr>
        <w:t>FORM S-8 REGISTRATION STATEMENT NO. 333-289653</w:t>
      </w: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POST-EFFECTIVE AMENDMENT NO. 2</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TO</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color w:val="auto"/>
        </w:rPr>
        <w:t>FORM S-8 REGISTRATION STATEMENT NO. 333-188168</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i w:val="1"/>
          <w:iCs w:val="1"/>
          <w:color w:val="auto"/>
        </w:rPr>
        <w:t>UNDER</w:t>
      </w:r>
    </w:p>
    <w:p>
      <w:pPr>
        <w:spacing w:after="0" w:line="10"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9"/>
          <w:szCs w:val="19"/>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206375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38"/>
          <w:szCs w:val="38"/>
          <w:b w:val="1"/>
          <w:bCs w:val="1"/>
          <w:color w:val="auto"/>
        </w:rPr>
        <w:t>HANESBRANDS LLC</w:t>
      </w:r>
    </w:p>
    <w:p>
      <w:pPr>
        <w:spacing w:after="0" w:line="57" w:lineRule="exact"/>
        <w:rPr>
          <w:sz w:val="24"/>
          <w:szCs w:val="24"/>
          <w:color w:val="auto"/>
        </w:rPr>
      </w:pPr>
    </w:p>
    <w:p>
      <w:pPr>
        <w:ind w:left="2640"/>
        <w:spacing w:after="0"/>
        <w:rPr>
          <w:sz w:val="20"/>
          <w:szCs w:val="20"/>
          <w:color w:val="auto"/>
        </w:rPr>
      </w:pPr>
      <w:r>
        <w:rPr>
          <w:rFonts w:ascii="Times New Roman" w:cs="Times New Roman" w:eastAsia="Times New Roman" w:hAnsi="Times New Roman"/>
          <w:sz w:val="38"/>
          <w:szCs w:val="38"/>
          <w:b w:val="1"/>
          <w:bCs w:val="1"/>
          <w:color w:val="auto"/>
        </w:rPr>
        <w:t>f/k/a Hanesbrands Inc.</w:t>
      </w:r>
    </w:p>
    <w:p>
      <w:pPr>
        <w:spacing w:after="0" w:line="6" w:lineRule="exact"/>
        <w:rPr>
          <w:sz w:val="24"/>
          <w:szCs w:val="24"/>
          <w:color w:val="auto"/>
        </w:rPr>
      </w:pPr>
    </w:p>
    <w:p>
      <w:pPr>
        <w:ind w:left="278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200025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tbl>
      <w:tblPr>
        <w:tblLayout w:type="fixed"/>
        <w:tblInd w:w="940" w:type="dxa"/>
        <w:tblCellMar>
          <w:top w:w="0" w:type="dxa"/>
          <w:left w:w="0" w:type="dxa"/>
          <w:bottom w:w="0" w:type="dxa"/>
          <w:right w:w="0" w:type="dxa"/>
        </w:tblCellMar>
      </w:tblPr>
      <w:tr>
        <w:trPr>
          <w:trHeight w:val="184"/>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6"/>
                <w:szCs w:val="16"/>
                <w:b w:val="1"/>
                <w:bCs w:val="1"/>
                <w:color w:val="auto"/>
                <w:w w:val="99"/>
              </w:rPr>
              <w:t>Maryland</w:t>
            </w:r>
          </w:p>
        </w:tc>
        <w:tc>
          <w:tcPr>
            <w:tcW w:w="2900" w:type="dxa"/>
            <w:vAlign w:val="bottom"/>
          </w:tcPr>
          <w:p>
            <w:pPr>
              <w:jc w:val="right"/>
              <w:ind w:right="209"/>
              <w:spacing w:after="0"/>
              <w:rPr>
                <w:sz w:val="20"/>
                <w:szCs w:val="20"/>
                <w:color w:val="auto"/>
              </w:rPr>
            </w:pPr>
            <w:r>
              <w:rPr>
                <w:rFonts w:ascii="Times New Roman" w:cs="Times New Roman" w:eastAsia="Times New Roman" w:hAnsi="Times New Roman"/>
                <w:sz w:val="16"/>
                <w:szCs w:val="16"/>
                <w:b w:val="1"/>
                <w:bCs w:val="1"/>
                <w:color w:val="auto"/>
              </w:rPr>
              <w:t>20-3552316</w:t>
            </w:r>
          </w:p>
        </w:tc>
      </w:tr>
      <w:tr>
        <w:trPr>
          <w:trHeight w:val="156"/>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4"/>
        </w:trPr>
        <w:tc>
          <w:tcPr>
            <w:tcW w:w="3840" w:type="dxa"/>
            <w:vAlign w:val="bottom"/>
          </w:tcPr>
          <w:p>
            <w:pPr>
              <w:jc w:val="center"/>
              <w:ind w:right="1488"/>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365"/>
        </w:trPr>
        <w:tc>
          <w:tcPr>
            <w:tcW w:w="3840" w:type="dxa"/>
            <w:vAlign w:val="bottom"/>
          </w:tcPr>
          <w:p>
            <w:pPr>
              <w:jc w:val="center"/>
              <w:ind w:right="1468"/>
              <w:spacing w:after="0"/>
              <w:rPr>
                <w:sz w:val="20"/>
                <w:szCs w:val="20"/>
                <w:color w:val="auto"/>
              </w:rPr>
            </w:pPr>
            <w:r>
              <w:rPr>
                <w:rFonts w:ascii="Times New Roman" w:cs="Times New Roman" w:eastAsia="Times New Roman" w:hAnsi="Times New Roman"/>
                <w:sz w:val="16"/>
                <w:szCs w:val="16"/>
                <w:b w:val="1"/>
                <w:bCs w:val="1"/>
                <w:color w:val="auto"/>
                <w:w w:val="97"/>
              </w:rPr>
              <w:t>101 N. Cherry Street</w:t>
            </w:r>
          </w:p>
        </w:tc>
        <w:tc>
          <w:tcPr>
            <w:tcW w:w="2900" w:type="dxa"/>
            <w:vAlign w:val="bottom"/>
          </w:tcPr>
          <w:p>
            <w:pPr>
              <w:spacing w:after="0"/>
              <w:rPr>
                <w:sz w:val="24"/>
                <w:szCs w:val="24"/>
                <w:color w:val="auto"/>
              </w:rPr>
            </w:pPr>
          </w:p>
        </w:tc>
      </w:tr>
      <w:tr>
        <w:trPr>
          <w:trHeight w:val="193"/>
        </w:trPr>
        <w:tc>
          <w:tcPr>
            <w:tcW w:w="3840" w:type="dxa"/>
            <w:vAlign w:val="bottom"/>
          </w:tcPr>
          <w:p>
            <w:pPr>
              <w:jc w:val="center"/>
              <w:ind w:right="1468"/>
              <w:spacing w:after="0"/>
              <w:rPr>
                <w:sz w:val="20"/>
                <w:szCs w:val="20"/>
                <w:color w:val="auto"/>
              </w:rPr>
            </w:pPr>
            <w:r>
              <w:rPr>
                <w:rFonts w:ascii="Times New Roman" w:cs="Times New Roman" w:eastAsia="Times New Roman" w:hAnsi="Times New Roman"/>
                <w:sz w:val="16"/>
                <w:szCs w:val="16"/>
                <w:b w:val="1"/>
                <w:bCs w:val="1"/>
                <w:color w:val="auto"/>
                <w:w w:val="98"/>
              </w:rPr>
              <w:t>Winston-Salem, North Carolina</w:t>
            </w:r>
          </w:p>
        </w:tc>
        <w:tc>
          <w:tcPr>
            <w:tcW w:w="2900" w:type="dxa"/>
            <w:vAlign w:val="bottom"/>
          </w:tcPr>
          <w:p>
            <w:pPr>
              <w:jc w:val="right"/>
              <w:ind w:right="389"/>
              <w:spacing w:after="0"/>
              <w:rPr>
                <w:sz w:val="20"/>
                <w:szCs w:val="20"/>
                <w:color w:val="auto"/>
              </w:rPr>
            </w:pPr>
            <w:r>
              <w:rPr>
                <w:rFonts w:ascii="Times New Roman" w:cs="Times New Roman" w:eastAsia="Times New Roman" w:hAnsi="Times New Roman"/>
                <w:sz w:val="16"/>
                <w:szCs w:val="16"/>
                <w:b w:val="1"/>
                <w:bCs w:val="1"/>
                <w:color w:val="auto"/>
              </w:rPr>
              <w:t>27101</w:t>
            </w:r>
          </w:p>
        </w:tc>
      </w:tr>
      <w:tr>
        <w:trPr>
          <w:trHeight w:val="174"/>
        </w:trPr>
        <w:tc>
          <w:tcPr>
            <w:tcW w:w="3840" w:type="dxa"/>
            <w:vAlign w:val="bottom"/>
          </w:tcPr>
          <w:p>
            <w:pPr>
              <w:jc w:val="center"/>
              <w:ind w:right="1508"/>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900" w:type="dxa"/>
            <w:vAlign w:val="bottom"/>
          </w:tcPr>
          <w:p>
            <w:pPr>
              <w:jc w:val="center"/>
              <w:ind w:left="1529"/>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73"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Hanesbrands Inc. Retirement Savings Plan</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Hanesbrands Inc. Salaried Retirement Savings Plan of Puerto Rico</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Hanesbrands Inc. Hourly Retirement Savings Plan of Puerto Rico</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Omnibus Incentive Plan of 2006</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Employee Stock Purchase Plan of 2006</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Executive Deferred Compensation Plan</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Non-Employee Director Deferred Compensation Plan</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Omnibus Incentive Plan (As Amended and Restated)</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Hanesbrands Inc. 2020 Omnibus Incentive Plan</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Inducement Stock Option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Performance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Sign-On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Long-Term Incentive Plan Restricted Stock Unit Grant Notice and Agreement</w:t>
      </w:r>
    </w:p>
    <w:p>
      <w:pPr>
        <w:jc w:val="center"/>
        <w:ind w:right="380"/>
        <w:spacing w:after="0" w:line="235" w:lineRule="auto"/>
        <w:rPr>
          <w:sz w:val="20"/>
          <w:szCs w:val="20"/>
          <w:color w:val="auto"/>
        </w:rPr>
      </w:pPr>
      <w:r>
        <w:rPr>
          <w:rFonts w:ascii="Times New Roman" w:cs="Times New Roman" w:eastAsia="Times New Roman" w:hAnsi="Times New Roman"/>
          <w:sz w:val="16"/>
          <w:szCs w:val="16"/>
          <w:b w:val="1"/>
          <w:bCs w:val="1"/>
          <w:color w:val="auto"/>
        </w:rPr>
        <w:t>Inducement Long-Term Incentive Plan Performance Stock Unit Grant Notice and Agreement</w:t>
      </w:r>
    </w:p>
    <w:p>
      <w:pPr>
        <w:jc w:val="center"/>
        <w:ind w:right="400"/>
        <w:spacing w:after="0" w:line="231" w:lineRule="auto"/>
        <w:rPr>
          <w:sz w:val="20"/>
          <w:szCs w:val="20"/>
          <w:color w:val="auto"/>
        </w:rPr>
      </w:pPr>
      <w:r>
        <w:rPr>
          <w:rFonts w:ascii="Times New Roman" w:cs="Times New Roman" w:eastAsia="Times New Roman" w:hAnsi="Times New Roman"/>
          <w:sz w:val="16"/>
          <w:szCs w:val="16"/>
          <w:b w:val="1"/>
          <w:bCs w:val="1"/>
          <w:color w:val="auto"/>
        </w:rPr>
        <w:t>Hanesbrands Inc. 2020 Omnibus Incentive Plan, as Amended</w:t>
      </w:r>
    </w:p>
    <w:p>
      <w:pPr>
        <w:spacing w:after="0" w:line="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(Full title of the plans)</w:t>
      </w:r>
    </w:p>
    <w:p>
      <w:pPr>
        <w:spacing w:after="0" w:line="18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Hanesbrands LLC</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101 North Cherry Street,</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Winston-Salem, NC 27101</w:t>
      </w:r>
    </w:p>
    <w:p>
      <w:pPr>
        <w:jc w:val="center"/>
        <w:ind w:right="380"/>
        <w:spacing w:after="0" w:line="232" w:lineRule="auto"/>
        <w:rPr>
          <w:sz w:val="20"/>
          <w:szCs w:val="20"/>
          <w:color w:val="auto"/>
        </w:rPr>
      </w:pPr>
      <w:r>
        <w:rPr>
          <w:rFonts w:ascii="Times New Roman" w:cs="Times New Roman" w:eastAsia="Times New Roman" w:hAnsi="Times New Roman"/>
          <w:sz w:val="16"/>
          <w:szCs w:val="16"/>
          <w:b w:val="1"/>
          <w:bCs w:val="1"/>
          <w:color w:val="auto"/>
        </w:rPr>
        <w:t>(336) 519-8080</w:t>
      </w:r>
    </w:p>
    <w:p>
      <w:pPr>
        <w:ind w:left="2240"/>
        <w:spacing w:after="0"/>
        <w:rPr>
          <w:sz w:val="20"/>
          <w:szCs w:val="20"/>
          <w:color w:val="auto"/>
        </w:rPr>
      </w:pPr>
      <w:r>
        <w:rPr>
          <w:rFonts w:ascii="Times New Roman" w:cs="Times New Roman" w:eastAsia="Times New Roman" w:hAnsi="Times New Roman"/>
          <w:sz w:val="13"/>
          <w:szCs w:val="13"/>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2206625</wp:posOffset>
            </wp:positionH>
            <wp:positionV relativeFrom="paragraph">
              <wp:posOffset>208280</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i w:val="1"/>
          <w:iCs w:val="1"/>
          <w:color w:val="auto"/>
        </w:rPr>
        <w:t>Copy to:</w:t>
      </w:r>
    </w:p>
    <w:p>
      <w:pPr>
        <w:spacing w:after="0" w:line="94"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Matthew B. Goodman</w:t>
      </w:r>
    </w:p>
    <w:p>
      <w:pPr>
        <w:spacing w:after="0" w:line="12"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Mario Schollmeyer</w:t>
      </w:r>
    </w:p>
    <w:p>
      <w:pPr>
        <w:jc w:val="center"/>
        <w:ind w:right="380"/>
        <w:spacing w:after="0" w:line="234" w:lineRule="auto"/>
        <w:rPr>
          <w:sz w:val="20"/>
          <w:szCs w:val="20"/>
          <w:color w:val="auto"/>
        </w:rPr>
      </w:pPr>
      <w:r>
        <w:rPr>
          <w:rFonts w:ascii="Times New Roman" w:cs="Times New Roman" w:eastAsia="Times New Roman" w:hAnsi="Times New Roman"/>
          <w:sz w:val="16"/>
          <w:szCs w:val="16"/>
          <w:b w:val="1"/>
          <w:bCs w:val="1"/>
          <w:color w:val="auto"/>
        </w:rPr>
        <w:t>Sullivan &amp; Cromwell LLP</w:t>
      </w:r>
    </w:p>
    <w:p>
      <w:pPr>
        <w:spacing w:after="0" w:line="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125 Broad Street</w:t>
      </w:r>
    </w:p>
    <w:p>
      <w:pPr>
        <w:sectPr>
          <w:pgSz w:w="11900" w:h="16840" w:orient="portrait"/>
          <w:cols w:equalWidth="0" w:num="1">
            <w:col w:w="9400"/>
          </w:cols>
          <w:pgMar w:left="1440" w:top="555" w:right="1060" w:bottom="1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New York, NY 10004</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(212) 558-4000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200025</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right="360"/>
        <w:spacing w:after="0" w:line="24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anon-accelerated filer, a smaller reporting company or an emerging growth company. See the definitions of “large accelerated filer,” “accelerated filer,” “smaller reporting company” and “emerging growth company” in Rule 12b-2 of the Exchange Act.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6"/>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0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3" w:lineRule="exact"/>
        <w:rPr>
          <w:sz w:val="20"/>
          <w:szCs w:val="20"/>
          <w:color w:val="auto"/>
        </w:rPr>
      </w:pPr>
    </w:p>
    <w:p>
      <w:pPr>
        <w:spacing w:after="0" w:line="205"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62198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137795</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760"/>
          </w:cols>
          <w:pgMar w:left="1060" w:top="555" w:right="108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DEREGISTRATION OF SECURITIES</w:t>
      </w:r>
    </w:p>
    <w:p>
      <w:pPr>
        <w:spacing w:after="0" w:line="190" w:lineRule="exact"/>
        <w:rPr>
          <w:sz w:val="20"/>
          <w:szCs w:val="20"/>
          <w:color w:val="auto"/>
        </w:rPr>
      </w:pPr>
    </w:p>
    <w:p>
      <w:pPr>
        <w:ind w:right="180" w:firstLine="384"/>
        <w:spacing w:after="0" w:line="243" w:lineRule="auto"/>
        <w:rPr>
          <w:sz w:val="20"/>
          <w:szCs w:val="20"/>
          <w:color w:val="auto"/>
        </w:rPr>
      </w:pPr>
      <w:r>
        <w:rPr>
          <w:rFonts w:ascii="Times New Roman" w:cs="Times New Roman" w:eastAsia="Times New Roman" w:hAnsi="Times New Roman"/>
          <w:sz w:val="16"/>
          <w:szCs w:val="16"/>
          <w:color w:val="auto"/>
        </w:rPr>
        <w:t>Hanesbrands LLC (f/k/a Hanesbrands Inc.) (the “Company”) is filing these post- effective amendments (these “Post-Effective Amendments”) to the following Registration Statements on Form S-8 (the “Registration Statements”), which have been previously filed with the U.S. Securities and Exchange Commission (the “SEC”), to deregister any and all securities of the Company registered but unsold or otherwise unissued under such Registration Statements as of the date hereof:</w:t>
      </w:r>
    </w:p>
    <w:p>
      <w:pPr>
        <w:spacing w:after="0" w:line="95" w:lineRule="exact"/>
        <w:rPr>
          <w:sz w:val="20"/>
          <w:szCs w:val="20"/>
          <w:color w:val="auto"/>
        </w:rPr>
      </w:pPr>
    </w:p>
    <w:p>
      <w:pPr>
        <w:jc w:val="both"/>
        <w:ind w:left="860" w:right="80" w:hanging="390"/>
        <w:spacing w:after="0" w:line="277" w:lineRule="auto"/>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No. 333-137143, filed with the SEC on September 6, 2006, relating to the Hanesbrands Inc. Retirement Savings Plan, the Hanesbrands Inc. Salaried Retirement Savings Plan of Puerto Rico, the Hanesbrands Inc. Hourly Retirement Savings Plan of Puerto Rico, the Hanesbrands Inc. Omnibus Incentive Plan of 2006, the Hanesbrands Inc. Employee Stock Purchase Plan of 2006, the Hanesbrands Inc.</w:t>
      </w:r>
    </w:p>
    <w:p>
      <w:pPr>
        <w:ind w:left="8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Executive Deferred Compensation Plan, and the Hanesbrands Inc. Non-Employee Director Deferred Compensation Plan;</w:t>
      </w:r>
    </w:p>
    <w:p>
      <w:pPr>
        <w:spacing w:after="0" w:line="98" w:lineRule="exact"/>
        <w:rPr>
          <w:rFonts w:ascii="Times New Roman" w:cs="Times New Roman" w:eastAsia="Times New Roman" w:hAnsi="Times New Roman"/>
          <w:sz w:val="14"/>
          <w:szCs w:val="14"/>
          <w:color w:val="auto"/>
        </w:rPr>
      </w:pPr>
    </w:p>
    <w:p>
      <w:pPr>
        <w:ind w:left="860" w:right="16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333-188168, filed with the SEC on April 26, 2013, relating to the Hanesbrands Inc. Omnibus Incentive Plan (As Amended and Restated), as amended by Post-Effective Amendment No. 1 to Form S-8, filed with the SEC on May 8, 2020, relating to the Hanesbrands Inc. Omnibus Incentive Plan (As Amended and Restated), and the Hanesbrands Inc. 2020 Omnibus Incentive Plan;</w:t>
      </w:r>
    </w:p>
    <w:p>
      <w:pPr>
        <w:spacing w:after="0" w:line="92" w:lineRule="exact"/>
        <w:rPr>
          <w:rFonts w:ascii="Times New Roman" w:cs="Times New Roman" w:eastAsia="Times New Roman" w:hAnsi="Times New Roman"/>
          <w:sz w:val="16"/>
          <w:szCs w:val="16"/>
          <w:color w:val="auto"/>
        </w:rPr>
      </w:pPr>
    </w:p>
    <w:p>
      <w:pPr>
        <w:ind w:left="860" w:right="46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333-214449, filed with the SEC on November 4, 2016, relating to the Hanesbrands Inc. Executive Deferred Compensation Plan and the Hanesbrands Inc. Non-Employee Director Deferred Compensation Plan;</w:t>
      </w:r>
    </w:p>
    <w:p>
      <w:pPr>
        <w:spacing w:after="0" w:line="83"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Registration Statement No. 333-238100, filed with the SEC on May 8, 2020, relating to the Hanesbrands Inc. 2020 Omnibus Incentive Plan;</w:t>
      </w:r>
    </w:p>
    <w:p>
      <w:pPr>
        <w:spacing w:after="0" w:line="139" w:lineRule="exact"/>
        <w:rPr>
          <w:rFonts w:ascii="Times New Roman" w:cs="Times New Roman" w:eastAsia="Times New Roman" w:hAnsi="Times New Roman"/>
          <w:sz w:val="14"/>
          <w:szCs w:val="14"/>
          <w:color w:val="auto"/>
        </w:rPr>
      </w:pPr>
    </w:p>
    <w:p>
      <w:pPr>
        <w:ind w:left="860" w:right="24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333-240312, filed with the SEC on August 3, 2020, relating to the Inducement Stock Option Grant Notice and Agreement, the Inducement Restricted Stock Unit Grant Notice and Agreement, and the Inducement Performance Stock Unit Grant Notice and Agreement;</w:t>
      </w:r>
    </w:p>
    <w:p>
      <w:pPr>
        <w:spacing w:after="0" w:line="92" w:lineRule="exact"/>
        <w:rPr>
          <w:rFonts w:ascii="Times New Roman" w:cs="Times New Roman" w:eastAsia="Times New Roman" w:hAnsi="Times New Roman"/>
          <w:sz w:val="16"/>
          <w:szCs w:val="16"/>
          <w:color w:val="auto"/>
        </w:rPr>
      </w:pPr>
    </w:p>
    <w:p>
      <w:pPr>
        <w:ind w:left="860" w:right="140" w:hanging="390"/>
        <w:spacing w:after="0" w:line="247"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333-248667, filed with the SEC on September 8, 2020, relating to the Inducement Sign-On Restricted Stock Unit Grant Notice and Agreement, the Inducement Long-Term Incentive Plan Restricted Stock Unit Grant Notice and Agreement, and the Inducement Long-Term Incentive Plan Performance Stock Unit Grant Notice and Agreement;</w:t>
      </w:r>
    </w:p>
    <w:p>
      <w:pPr>
        <w:spacing w:after="0" w:line="92" w:lineRule="exact"/>
        <w:rPr>
          <w:rFonts w:ascii="Times New Roman" w:cs="Times New Roman" w:eastAsia="Times New Roman" w:hAnsi="Times New Roman"/>
          <w:sz w:val="16"/>
          <w:szCs w:val="16"/>
          <w:color w:val="auto"/>
        </w:rPr>
      </w:pPr>
    </w:p>
    <w:p>
      <w:pPr>
        <w:ind w:left="86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333-271608, filed with the SEC on May 3, 2023, relating to the Hanesbrands Inc. 2020 Omnibus Incentive Plan, as Amended;</w:t>
      </w:r>
    </w:p>
    <w:p>
      <w:pPr>
        <w:spacing w:after="0" w:line="83" w:lineRule="exact"/>
        <w:rPr>
          <w:rFonts w:ascii="Times New Roman" w:cs="Times New Roman" w:eastAsia="Times New Roman" w:hAnsi="Times New Roman"/>
          <w:sz w:val="16"/>
          <w:szCs w:val="16"/>
          <w:color w:val="auto"/>
        </w:rPr>
      </w:pPr>
    </w:p>
    <w:p>
      <w:pPr>
        <w:ind w:left="860" w:right="280" w:hanging="390"/>
        <w:spacing w:after="0" w:line="259"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Statement No. 333-289653, filed with the SEC on August 15, 2025, relating to the Hanesbrands Inc. 2020 Omnibus Incentive Plan, as Amended.</w:t>
      </w:r>
    </w:p>
    <w:p>
      <w:pPr>
        <w:spacing w:after="0" w:line="153" w:lineRule="exact"/>
        <w:rPr>
          <w:sz w:val="20"/>
          <w:szCs w:val="20"/>
          <w:color w:val="auto"/>
        </w:rPr>
      </w:pPr>
    </w:p>
    <w:p>
      <w:pPr>
        <w:ind w:right="140" w:firstLine="384"/>
        <w:spacing w:after="0"/>
        <w:rPr>
          <w:sz w:val="20"/>
          <w:szCs w:val="20"/>
          <w:color w:val="auto"/>
        </w:rPr>
      </w:pPr>
      <w:r>
        <w:rPr>
          <w:rFonts w:ascii="Times New Roman" w:cs="Times New Roman" w:eastAsia="Times New Roman" w:hAnsi="Times New Roman"/>
          <w:sz w:val="16"/>
          <w:szCs w:val="16"/>
          <w:color w:val="auto"/>
        </w:rPr>
        <w:t xml:space="preserve">On December 1, 2025, Gildan Activewear, Inc., a corporation incorporated under the </w:t>
      </w:r>
      <w:r>
        <w:rPr>
          <w:rFonts w:ascii="Times New Roman" w:cs="Times New Roman" w:eastAsia="Times New Roman" w:hAnsi="Times New Roman"/>
          <w:sz w:val="16"/>
          <w:szCs w:val="16"/>
          <w:i w:val="1"/>
          <w:iCs w:val="1"/>
          <w:color w:val="auto"/>
        </w:rPr>
        <w:t>Canada Business Corporations Act</w:t>
      </w:r>
      <w:r>
        <w:rPr>
          <w:rFonts w:ascii="Times New Roman" w:cs="Times New Roman" w:eastAsia="Times New Roman" w:hAnsi="Times New Roman"/>
          <w:sz w:val="16"/>
          <w:szCs w:val="16"/>
          <w:color w:val="auto"/>
        </w:rPr>
        <w:t xml:space="preserve"> (“Gildan”), acquired the Company through multiple steps, pursuant to an Agreement and Plan of Merger, dated as of August 13, 2025 (the “Merger Agreement”), by and among Gildan, Galaxy Merger Sub 2, Inc., a Maryland corporation and direct wholly owned subsidiary of Gildan (“Second Gildan Merger Sub”), Galaxy Merger Sub 1, Inc., a Maryland corporation and direct wholly owned subsidiary of Second Gildan Merger Sub (“First Gildan Merger Sub”), Hanesbrands, Helios Holdco, Inc., a Maryland corporation and direct wholly owned subsidiary of Hanesbrands (“Hanesbrands Holdco”), and Helios Merger Sub, Inc., a Maryland corporation and direct wholly owned subsidiary of Hanesbrands Holdco (“Hanesbrands Merger Sub”).</w:t>
      </w:r>
    </w:p>
    <w:p>
      <w:pPr>
        <w:sectPr>
          <w:pgSz w:w="11900" w:h="16840" w:orient="portrait"/>
          <w:cols w:equalWidth="0" w:num="1">
            <w:col w:w="9760"/>
          </w:cols>
          <w:pgMar w:left="1060" w:top="687" w:right="1080" w:bottom="1440" w:gutter="0" w:footer="0" w:header="0"/>
        </w:sectPr>
      </w:pPr>
    </w:p>
    <w:bookmarkStart w:id="3" w:name="page4"/>
    <w:bookmarkEnd w:id="3"/>
    <w:p>
      <w:pPr>
        <w:ind w:left="38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On December 1, 2025, upon the terms and subject to the conditions set forth in the Merger Agreement (collectively, the “Transactions”):</w:t>
      </w:r>
    </w:p>
    <w:p>
      <w:pPr>
        <w:spacing w:after="0" w:line="116" w:lineRule="exact"/>
        <w:rPr>
          <w:sz w:val="20"/>
          <w:szCs w:val="20"/>
          <w:color w:val="auto"/>
        </w:rPr>
      </w:pPr>
    </w:p>
    <w:p>
      <w:pPr>
        <w:ind w:left="126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Merger Sub merged with and into Hanesbrands Inc., with Hanesbrands Inc. surviving as a direct wholly owned subsidiary of Hanesbrands Holdco;</w:t>
      </w:r>
    </w:p>
    <w:p>
      <w:pPr>
        <w:spacing w:after="0" w:line="83" w:lineRule="exact"/>
        <w:rPr>
          <w:rFonts w:ascii="Times New Roman" w:cs="Times New Roman" w:eastAsia="Times New Roman" w:hAnsi="Times New Roman"/>
          <w:sz w:val="16"/>
          <w:szCs w:val="16"/>
          <w:color w:val="auto"/>
        </w:rPr>
      </w:pPr>
    </w:p>
    <w:p>
      <w:pPr>
        <w:ind w:left="1260" w:hanging="394"/>
        <w:spacing w:after="0"/>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Inc. converted into a Maryland limited liability company;</w:t>
      </w:r>
    </w:p>
    <w:p>
      <w:pPr>
        <w:spacing w:after="0" w:line="116" w:lineRule="exact"/>
        <w:rPr>
          <w:rFonts w:ascii="Times New Roman" w:cs="Times New Roman" w:eastAsia="Times New Roman" w:hAnsi="Times New Roman"/>
          <w:sz w:val="16"/>
          <w:szCs w:val="16"/>
          <w:color w:val="auto"/>
        </w:rPr>
      </w:pPr>
    </w:p>
    <w:p>
      <w:pPr>
        <w:ind w:left="1260" w:right="28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First Gildan Merger Sub merged with and into Hanesbrands Holdco, with Hanesbrands Holdco surviving as a direct wholly owned subsidiary of Second Gildan Merger Sub; and</w:t>
      </w:r>
    </w:p>
    <w:p>
      <w:pPr>
        <w:spacing w:after="0" w:line="83" w:lineRule="exact"/>
        <w:rPr>
          <w:rFonts w:ascii="Times New Roman" w:cs="Times New Roman" w:eastAsia="Times New Roman" w:hAnsi="Times New Roman"/>
          <w:sz w:val="16"/>
          <w:szCs w:val="16"/>
          <w:color w:val="auto"/>
        </w:rPr>
      </w:pPr>
    </w:p>
    <w:p>
      <w:pPr>
        <w:ind w:left="1260" w:right="160" w:hanging="394"/>
        <w:spacing w:after="0" w:line="259" w:lineRule="auto"/>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Hanesbrands Holdco merged with and into Second Gildan Merger Sub, with Second Gildan Merger Sub surviving as a direct wholly owned subsidiary of Gildan.</w:t>
      </w:r>
    </w:p>
    <w:p>
      <w:pPr>
        <w:spacing w:after="0" w:line="155" w:lineRule="exact"/>
        <w:rPr>
          <w:sz w:val="20"/>
          <w:szCs w:val="20"/>
          <w:color w:val="auto"/>
        </w:rPr>
      </w:pPr>
    </w:p>
    <w:p>
      <w:pPr>
        <w:ind w:right="20" w:firstLine="384"/>
        <w:spacing w:after="0" w:line="241" w:lineRule="auto"/>
        <w:rPr>
          <w:sz w:val="20"/>
          <w:szCs w:val="20"/>
          <w:color w:val="auto"/>
        </w:rPr>
      </w:pPr>
      <w:r>
        <w:rPr>
          <w:rFonts w:ascii="Times New Roman" w:cs="Times New Roman" w:eastAsia="Times New Roman" w:hAnsi="Times New Roman"/>
          <w:sz w:val="16"/>
          <w:szCs w:val="16"/>
          <w:color w:val="auto"/>
        </w:rPr>
        <w:t>As a result of the Transactions, the Company has terminated all offerings of its securities pursuant to the Registration Statements. In accordance with an undertaking made by the Company in the Registration Statements to remove from registration, by means of these Post-Effective Amendments, any securities that had been registered but remain unsold at the termination of the offering, the Company hereby amends the Registration Statements to remove from registration all securities, as applicable, registered under the Registration Statements that remain unsold as of the date of these Post-Effective Amendments.</w:t>
      </w:r>
    </w:p>
    <w:p>
      <w:pPr>
        <w:sectPr>
          <w:pgSz w:w="11900" w:h="16840" w:orient="portrait"/>
          <w:cols w:equalWidth="0" w:num="1">
            <w:col w:w="9700"/>
          </w:cols>
          <w:pgMar w:left="1060" w:top="689" w:right="1140" w:bottom="1440" w:gutter="0" w:footer="0" w:header="0"/>
        </w:sectPr>
      </w:pPr>
    </w:p>
    <w:bookmarkStart w:id="4" w:name="page5"/>
    <w:bookmarkEnd w:id="4"/>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SIGNATURES</w:t>
      </w:r>
    </w:p>
    <w:p>
      <w:pPr>
        <w:spacing w:after="0" w:line="190"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Pursuant to the requirements of the Securities Act of 1933, the registrant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Montréal, Québec, Canada, on December 1, 2025.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Hanesbrands LLC</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Anne St-Pierre</w:t>
            </w:r>
          </w:p>
        </w:tc>
      </w:tr>
      <w:tr>
        <w:trPr>
          <w:trHeight w:val="171"/>
        </w:trPr>
        <w:tc>
          <w:tcPr>
            <w:tcW w:w="54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Name:</w:t>
            </w:r>
          </w:p>
        </w:tc>
        <w:tc>
          <w:tcPr>
            <w:tcW w:w="336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Anne St-Pierre</w:t>
            </w:r>
          </w:p>
        </w:tc>
      </w:tr>
      <w:tr>
        <w:trPr>
          <w:trHeight w:val="203"/>
        </w:trPr>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Authorized Signatory</w:t>
            </w:r>
          </w:p>
        </w:tc>
      </w:tr>
    </w:tbl>
    <w:p>
      <w:pPr>
        <w:spacing w:after="0" w:line="1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No other person is required to sign these Post-Effective Amendments in reliance on Rule 478 of the Securities Act of 1933.</w:t>
      </w:r>
    </w:p>
    <w:sectPr>
      <w:pgSz w:w="11900" w:h="16840" w:orient="portrait"/>
      <w:cols w:equalWidth="0" w:num="1">
        <w:col w:w="9640"/>
      </w:cols>
      <w:pgMar w:left="1060" w:top="687" w:right="120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2025-12-01T16:53:17Z</dcterms:created>
  <dcterms:modified xsi:type="dcterms:W3CDTF">2025-12-01T16:53:17Z</dcterms:modified>
</cp:coreProperties>
</file>